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standalone="yes"?><w:document mc:Ignorable="w14 w15 wp14"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w:body><0/><0/><w:p><w:pPr><w:pStyle w:val="Heading1"/></w:pPr><w:r><w:rPr><w:rFonts w:ascii="Arial" w:cs="Arial" w:eastAsia="Arial" w:hAnsi="Arial"/><w:b/><w:bCs/><w:color w:val="1B7A6E"/><w:sz w:val="26"/><w:szCs w:val="26"/></w:rPr><w:t xml:space="preserve">1. Introduction</w:t></w:r></w:p><w:p><w:pPr><w:spacing w:after="120" w:before="80"/></w:pPr><w:r><w:rPr><w:rFonts w:ascii="Times New Roman" w:cs="Times New Roman" w:eastAsia="Times New Roman" w:hAnsi="Times New Roman"/><w:color w:val="1A1A2E"/><w:sz w:val="24"/><w:szCs w:val="24"/></w:rPr><w:t xml:space="preserve">On July 17, 1996, TWA Flight 800 exploded shortly after takeoff from John F. Kennedy International Airport, killing all 230 people aboard. The subsequent National Transportation Safety Board investigation lasted four years and produced 238 findings and 54 safety recommendations—recommendations that reshaped aircraft fuel tank design standards across the industry. This outcome was possible because aviation has, since the 1970s, maintained a mandatory incident and accident reporting system that ensures failures are systematically documented and analyzed.</w:t></w:r></w:p><w:p><w:pPr><w:spacing w:after="120" w:before="80"/></w:pPr><w:r><w:rPr><w:rFonts w:ascii="Times New Roman" w:cs="Times New Roman" w:eastAsia="Times New Roman" w:hAnsi="Times New Roman"/><w:color w:val="1A1A2E"/><w:sz w:val="24"/><w:szCs w:val="24"/></w:rPr><w:t xml:space="preserve">Artificial intelligence has no equivalent. When an AI system causes harm—misdiagnoses a patient, incorrectly flags a loan application, generates instructions for dangerous activities, or facilitates harassment—there is no systematic requirement to report the incident to any authority, to analyze its causes, or to share findings with the broader development community. The result is that AI failures occur in a kind of epistemic darkness: known to those immediately involved, largely invisible to everyone else.</w:t></w:r></w:p><w:p><w:pPr><w:spacing w:after="120" w:before="80"/></w:pPr><w:r><w:rPr><w:rFonts w:ascii="Times New Roman" w:cs="Times New Roman" w:eastAsia="Times New Roman" w:hAnsi="Times New Roman"/><w:color w:val="1A1A2E"/><w:sz w:val="24"/><w:szCs w:val="24"/></w:rPr><w:t xml:space="preserve">This paper argues that voluntary AI incident disclosure is structurally inadequate, and that a mandatory regime is both necessary and feasible. Section 2 examines the evidence on current voluntary disclosure practices. Section 3 analyzes the structural incentives that make voluntary disclosure systematically fail. Section 4 reviews incident reporting regimes in analogous domains. Section 5 proposes a mandatory AI Incident Reporting System (AIRS). Section 6 addresses objections.</w:t></w:r></w:p><w:p><w:pPr><w:pStyle w:val="Heading1"/></w:pPr><w:r><w:rPr><w:rFonts w:ascii="Arial" w:cs="Arial" w:eastAsia="Arial" w:hAnsi="Arial"/><w:b/><w:bCs/><w:color w:val="1B7A6E"/><w:sz w:val="26"/><w:szCs w:val="26"/></w:rPr><w:t xml:space="preserve">2. The Current State of AI Incident Disclosure</w:t></w:r></w:p><w:p><w:pPr><w:pStyle w:val="Heading2"/></w:pPr><w:r><w:rPr><w:rFonts w:ascii="Arial" w:cs="Arial" w:eastAsia="Arial" w:hAnsi="Arial"/><w:b/><w:bCs/><w:color w:val="1A1A2E"/><w:sz w:val="24"/><w:szCs w:val="24"/></w:rPr><w:t xml:space="preserve">2.1 Existing Voluntary Initiatives</w:t></w:r></w:p><w:p><w:pPr><w:spacing w:after="120" w:before="80"/></w:pPr><w:r><w:rPr><w:rFonts w:ascii="Times New Roman" w:cs="Times New Roman" w:eastAsia="Times New Roman" w:hAnsi="Times New Roman"/><w:color w:val="1A1A2E"/><w:sz w:val="24"/><w:szCs w:val="24"/></w:rPr><w:t xml:space="preserve">Several voluntary AI incident databases currently exist. The AI Incident Database (AIID), maintained by the Responsible AI Collaborative, is the largest, containing thousands of reported incidents as of early 2026. The OECD AI Incidents Monitor tracks AI-related harms with a policy focus. Various sector-specific repositories have emerged in healthcare, criminal justice, and autonomous vehicles.</w:t></w:r></w:p><w:p><w:pPr><w:spacing w:after="120" w:before="80"/></w:pPr><w:r><w:rPr><w:rFonts w:ascii="Times New Roman" w:cs="Times New Roman" w:eastAsia="Times New Roman" w:hAnsi="Times New Roman"/><w:color w:val="1A1A2E"/><w:sz w:val="24"/><w:szCs w:val="24"/></w:rPr><w:t xml:space="preserve">These initiatives represent genuine progress. The existence of a searchable corpus of AI incidents is valuable for researchers, policymakers, and developers. However, voluntary databases suffer from systematic limitations that undermine their utility for safety governance.</w:t></w:r></w:p><w:p><w:pPr><w:pStyle w:val="Heading2"/></w:pPr><w:r><w:rPr><w:rFonts w:ascii="Arial" w:cs="Arial" w:eastAsia="Arial" w:hAnsi="Arial"/><w:b/><w:bCs/><w:color w:val="1A1A2E"/><w:sz w:val="24"/><w:szCs w:val="24"/></w:rPr><w:t xml:space="preserve">2.2 Evidence of Systematic Underreporting</w:t></w:r></w:p><w:p><w:pPr><w:spacing w:after="120" w:before="80"/></w:pPr><w:r><w:rPr><w:rFonts w:ascii="Times New Roman" w:cs="Times New Roman" w:eastAsia="Times New Roman" w:hAnsi="Times New Roman"/><w:color w:val="1A1A2E"/><w:sz w:val="24"/><w:szCs w:val="24"/></w:rPr><w:t xml:space="preserve">Voluntary AI incident databases capture a small and unrepresentative fraction of AI-related harms. Several lines of evidence support this conclusion.</w:t></w:r></w:p><w:p><w:pPr><w:spacing w:after="120" w:before="80"/></w:pPr><w:r><w:rPr><w:rFonts w:ascii="Times New Roman" w:cs="Times New Roman" w:eastAsia="Times New Roman" w:hAnsi="Times New Roman"/><w:color w:val="1A1A2E"/><w:sz w:val="24"/><w:szCs w:val="24"/></w:rPr><w:t xml:space="preserve">First, media-coverage dependency: voluntary databases rely heavily on incidents that receive news coverage. Harms affecting small numbers of people, occurring in low-profile contexts, or involving systems deployed by organizations without public visibility are systematically underrepresented.</w:t></w:r></w:p><w:p><w:pPr><w:spacing w:after="120" w:before="80"/></w:pPr><w:r><w:rPr><w:rFonts w:ascii="Times New Roman" w:cs="Times New Roman" w:eastAsia="Times New Roman" w:hAnsi="Times New Roman"/><w:color w:val="1A1A2E"/><w:sz w:val="24"/><w:szCs w:val="24"/></w:rPr><w:t xml:space="preserve">Second, victim awareness gaps: many AI-affected individuals do not know that an AI system was involved in a decision that harmed them. Automated decision systems often produce outcomes that appear to be human decisions, precluding the possibility of incident recognition and reporting.</w:t></w:r></w:p><w:p><w:pPr><w:spacing w:after="120" w:before="80"/></w:pPr><w:r><w:rPr><w:rFonts w:ascii="Times New Roman" w:cs="Times New Roman" w:eastAsia="Times New Roman" w:hAnsi="Times New Roman"/><w:color w:val="1A1A2E"/><w:sz w:val="24"/><w:szCs w:val="24"/></w:rPr><w:t xml:space="preserve">Third, developer incentive misalignment: organizations that develop and deploy AI systems have strong incentives to avoid public disclosure of failures, including reputational risk, liability exposure, and competitive disadvantage. In the absence of mandatory disclosure requirements, self-reporting is rare.</w:t></w:r></w:p><w:p><w:pPr><w:spacing w:after="120" w:before="80"/></w:pPr><w:r><w:rPr><w:rFonts w:ascii="Times New Roman" w:cs="Times New Roman" w:eastAsia="Times New Roman" w:hAnsi="Times New Roman"/><w:color w:val="1A1A2E"/><w:sz w:val="24"/><w:szCs w:val="24"/></w:rPr><w:t xml:space="preserve">Fourth, taxonomic inconsistency: voluntary databases apply varying and inconsistent definitions of &apos;incident,&apos; &apos;harm,&apos; and &apos;AI involvement,&apos; making cross-database comparison and trend analysis unreliable.</w:t></w:r></w:p><w:p><w:pPr><w:pStyle w:val="Heading1"/></w:pPr><w:r><w:rPr><w:rFonts w:ascii="Arial" w:cs="Arial" w:eastAsia="Arial" w:hAnsi="Arial"/><w:b/><w:bCs/><w:color w:val="1B7A6E"/><w:sz w:val="26"/><w:szCs w:val="26"/></w:rPr><w:t xml:space="preserve">3. Why Voluntary Disclosure Fails: Structural Analysis</w:t></w:r></w:p><w:p><w:pPr><w:spacing w:after="120" w:before="80"/></w:pPr><w:r><w:rPr><w:rFonts w:ascii="Times New Roman" w:cs="Times New Roman" w:eastAsia="Times New Roman" w:hAnsi="Times New Roman"/><w:color w:val="1A1A2E"/><w:sz w:val="24"/><w:szCs w:val="24"/></w:rPr><w:t xml:space="preserve">The inadequacy of voluntary AI incident disclosure is not primarily a matter of good faith. It reflects structural features of the incentive environment facing AI developers and deployers.</w:t></w:r></w:p><w:p><w:pPr><w:pStyle w:val="Heading2"/></w:pPr><w:r><w:rPr><w:rFonts w:ascii="Arial" w:cs="Arial" w:eastAsia="Arial" w:hAnsi="Arial"/><w:b/><w:bCs/><w:color w:val="1A1A2E"/><w:sz w:val="24"/><w:szCs w:val="24"/></w:rPr><w:t xml:space="preserve">3.1 The Classic Free-Rider Problem</w:t></w:r></w:p><w:p><w:pPr><w:spacing w:after="120" w:before="80"/></w:pPr><w:r><w:rPr><w:rFonts w:ascii="Times New Roman" w:cs="Times New Roman" w:eastAsia="Times New Roman" w:hAnsi="Times New Roman"/><w:color w:val="1A1A2E"/><w:sz w:val="24"/><w:szCs w:val="24"/></w:rPr><w:t xml:space="preserve">Safety information is a public good: it benefits all AI developers and deployers, including those who contribute nothing to its production. Under voluntary disclosure, individual organizations bear the full costs of disclosure (reputational, competitive, legal) while capturing only a fraction of the social benefits (improved shared safety knowledge). The rational response to this structure is to consume safety information produced by others while minimizing one&apos;s own disclosure.</w:t></w:r></w:p><w:p><w:pPr><w:pStyle w:val="Heading2"/></w:pPr><w:r><w:rPr><w:rFonts w:ascii="Arial" w:cs="Arial" w:eastAsia="Arial" w:hAnsi="Arial"/><w:b/><w:bCs/><w:color w:val="1A1A2E"/><w:sz w:val="24"/><w:szCs w:val="24"/></w:rPr><w:t xml:space="preserve">3.2 Legal Liability Chilling Effects</w:t></w:r></w:p><w:p><w:pPr><w:spacing w:after="120" w:before="80"/></w:pPr><w:r><w:rPr><w:rFonts w:ascii="Times New Roman" w:cs="Times New Roman" w:eastAsia="Times New Roman" w:hAnsi="Times New Roman"/><w:color w:val="1A1A2E"/><w:sz w:val="24"/><w:szCs w:val="24"/></w:rPr><w:t xml:space="preserve">In most jurisdictions, voluntary disclosure of an AI incident creates potential legal exposure. Documents prepared in anticipation of litigation may lose attorney-client privilege when disclosed externally. Admissions of AI failure may be used in civil litigation. This legal environment creates strong incentives for incident documentation to occur, if at all, exclusively in privileged attorney-client communications rather than in forms that could be shared with safety authorities or researchers.</w:t></w:r></w:p><w:p><w:pPr><w:pStyle w:val="Heading2"/></w:pPr><w:r><w:rPr><w:rFonts w:ascii="Arial" w:cs="Arial" w:eastAsia="Arial" w:hAnsi="Arial"/><w:b/><w:bCs/><w:color w:val="1A1A2E"/><w:sz w:val="24"/><w:szCs w:val="24"/></w:rPr><w:t xml:space="preserve">3.3 Competitive Intelligence Risks</w:t></w:r></w:p><w:p><w:pPr><w:spacing w:after="120" w:before="80"/></w:pPr><w:r><w:rPr><w:rFonts w:ascii="Times New Roman" w:cs="Times New Roman" w:eastAsia="Times New Roman" w:hAnsi="Times New Roman"/><w:color w:val="1A1A2E"/><w:sz w:val="24"/><w:szCs w:val="24"/></w:rPr><w:t xml:space="preserve">AI incident information often reveals proprietary details about model architecture, training data, deployment configuration, and failure modes. Voluntary disclosure creates the risk that competitors will use this information to improve their own systems while avoiding the reputational costs of disclosure. This risk is particularly acute for smaller organizations competing against larger ones with greater capacity to absorb reputational damage.</w:t></w:r></w:p><w:p><w:pPr><w:pStyle w:val="Heading2"/></w:pPr><w:r><w:rPr><w:rFonts w:ascii="Arial" w:cs="Arial" w:eastAsia="Arial" w:hAnsi="Arial"/><w:b/><w:bCs/><w:color w:val="1A1A2E"/><w:sz w:val="24"/><w:szCs w:val="24"/></w:rPr><w:t xml:space="preserve">3.4 Definitional Ambiguity</w:t></w:r></w:p><w:p><w:pPr><w:spacing w:after="120" w:before="80"/></w:pPr><w:r><w:rPr><w:rFonts w:ascii="Times New Roman" w:cs="Times New Roman" w:eastAsia="Times New Roman" w:hAnsi="Times New Roman"/><w:color w:val="1A1A2E"/><w:sz w:val="24"/><w:szCs w:val="24"/></w:rPr><w:t xml:space="preserve">Without mandatory reporting requirements and accompanying definitional standards, organizations face genuine uncertainty about what counts as a reportable incident. This ambiguity creates both legitimate compliance challenges and opportunities for motivated underreporting—organizations can plausibly characterize failures as non-events that do not meet any particular reporting threshold.</w:t></w:r></w:p><w:p><w:pPr><w:pStyle w:val="Heading2"/></w:pPr><w:r><w:rPr><w:rFonts w:ascii="Arial" w:cs="Arial" w:eastAsia="Arial" w:hAnsi="Arial"/><w:b/><w:bCs/><w:color w:val="1A1A2E"/><w:sz w:val="24"/><w:szCs w:val="24"/></w:rPr><w:t xml:space="preserve">3.5 Absence of Accountability Mechanisms</w:t></w:r></w:p><w:p><w:pPr><w:spacing w:after="120" w:before="80"/></w:pPr><w:r><w:rPr><w:rFonts w:ascii="Times New Roman" w:cs="Times New Roman" w:eastAsia="Times New Roman" w:hAnsi="Times New Roman"/><w:color w:val="1A1A2E"/><w:sz w:val="24"/><w:szCs w:val="24"/></w:rPr><w:t xml:space="preserve">Voluntary regimes have no enforcement teeth. An organization that fails to disclose an incident faces no regulatory consequences. The absence of accountability mechanisms eliminates whatever deterrent effect disclosure requirements might otherwise have on future failures.</w:t></w:r></w:p><w:p><w:pPr><w:pStyle w:val="Heading1"/></w:pPr><w:r><w:rPr><w:rFonts w:ascii="Arial" w:cs="Arial" w:eastAsia="Arial" w:hAnsi="Arial"/><w:b/><w:bCs/><w:color w:val="1B7A6E"/><w:sz w:val="26"/><w:szCs w:val="26"/></w:rPr><w:t xml:space="preserve">4. Lessons from Analogous Domains</w:t></w:r></w:p><w:p><w:pPr><w:spacing w:after="120" w:before="80"/></w:pPr><w:r><w:rPr><w:rFonts w:ascii="Times New Roman" w:cs="Times New Roman" w:eastAsia="Times New Roman" w:hAnsi="Times New Roman"/><w:color w:val="1A1A2E"/><w:sz w:val="24"/><w:szCs w:val="24"/></w:rPr><w:t xml:space="preserve">Mandatory incident reporting regimes in other safety-critical domains offer important lessons for AI governance.</w:t></w:r></w:p><w:p><w:pPr><w:pStyle w:val="Heading2"/></w:pPr><w:r><w:rPr><w:rFonts w:ascii="Arial" w:cs="Arial" w:eastAsia="Arial" w:hAnsi="Arial"/><w:b/><w:bCs/><w:color w:val="1A1A2E"/><w:sz w:val="24"/><w:szCs w:val="24"/></w:rPr><w:t xml:space="preserve">4.1 Aviation: Safety Improvements Through Systematic Reporting</w:t></w:r></w:p><w:p><w:pPr><w:spacing w:after="120" w:before="80"/></w:pPr><w:r><w:rPr><w:rFonts w:ascii="Times New Roman" w:cs="Times New Roman" w:eastAsia="Times New Roman" w:hAnsi="Times New Roman"/><w:color w:val="1A1A2E"/><w:sz w:val="24"/><w:szCs w:val="24"/></w:rPr><w:t xml:space="preserve">The aviation industry&apos;s mandatory reporting regime—administered in the United States by the National Transportation Safety Board for accidents and the FAA&apos;s Aviation Safety Action Program for incidents—has been instrumental in the industry&apos;s remarkable safety record. Commercial aviation&apos;s fatal accident rate has declined by over 90% since the 1970s. Researchers attribute a significant portion of this improvement to the systematic learning enabled by incident reporting.</w:t></w:r></w:p><w:p><w:pPr><w:spacing w:after="120" w:before="80"/></w:pPr><w:r><w:rPr><w:rFonts w:ascii="Times New Roman" w:cs="Times New Roman" w:eastAsia="Times New Roman" w:hAnsi="Times New Roman"/><w:color w:val="1A1A2E"/><w:sz w:val="24"/><w:szCs w:val="24"/></w:rPr><w:t xml:space="preserve">Critically, the aviation regime includes confidentiality protections for reporters who self-disclose non-criminal violations. The Aviation Safety Action Program allows pilots and maintenance personnel to report errors without fear of certificate action, dramatically increasing reporting rates.</w:t></w:r></w:p><w:p><w:pPr><w:pStyle w:val="Heading2"/></w:pPr><w:r><w:rPr><w:rFonts w:ascii="Arial" w:cs="Arial" w:eastAsia="Arial" w:hAnsi="Arial"/><w:b/><w:bCs/><w:color w:val="1A1A2E"/><w:sz w:val="24"/><w:szCs w:val="24"/></w:rPr><w:t xml:space="preserve">4.2 Nuclear: Near-Miss Reporting and Cross-Facility Learning</w:t></w:r></w:p><w:p><w:pPr><w:spacing w:after="120" w:before="80"/></w:pPr><w:r><w:rPr><w:rFonts w:ascii="Times New Roman" w:cs="Times New Roman" w:eastAsia="Times New Roman" w:hAnsi="Times New Roman"/><w:color w:val="1A1A2E"/><w:sz w:val="24"/><w:szCs w:val="24"/></w:rPr><w:t xml:space="preserve">The Nuclear Regulatory Commission&apos;s mandatory near-miss reporting system captures safety-significant events before they become accidents. Cross-facility analysis of near-miss data has driven systematic improvements in reactor design, operating procedures, and training. The nuclear industry&apos;s safety record—no major accidents in U.S. commercial reactors since Three Mile Island in 1979—reflects, in part, the value of systematic near-miss analysis.</w:t></w:r></w:p><w:p><w:pPr><w:pStyle w:val="Heading2"/></w:pPr><w:r><w:rPr><w:rFonts w:ascii="Arial" w:cs="Arial" w:eastAsia="Arial" w:hAnsi="Arial"/><w:b/><w:bCs/><w:color w:val="1A1A2E"/><w:sz w:val="24"/><w:szCs w:val="24"/></w:rPr><w:t xml:space="preserve">4.3 Pharmaceuticals: Adverse Event Reporting</w:t></w:r></w:p><w:p><w:pPr><w:spacing w:after="120" w:before="80"/></w:pPr><w:r><w:rPr><w:rFonts w:ascii="Times New Roman" w:cs="Times New Roman" w:eastAsia="Times New Roman" w:hAnsi="Times New Roman"/><w:color w:val="1A1A2E"/><w:sz w:val="24"/><w:szCs w:val="24"/></w:rPr><w:t xml:space="preserve">The FDA&apos;s MedWatch program requires manufacturers, importers, and distributors to report serious adverse drug events and device malfunctions. This mandatory regime has enabled the identification of drug interactions, rare side effects, and device failures that would not have been identified from clinical trials alone. Several drugs have been withdrawn from the market based on post-market adverse event data.</w:t></w:r></w:p><w:p><w:pPr><w:pStyle w:val="Heading2"/></w:pPr><w:r><w:rPr><w:rFonts w:ascii="Arial" w:cs="Arial" w:eastAsia="Arial" w:hAnsi="Arial"/><w:b/><w:bCs/><w:color w:val="1A1A2E"/><w:sz w:val="24"/><w:szCs w:val="24"/></w:rPr><w:t xml:space="preserve">4.4 Common Design Principles</w:t></w:r></w:p><w:p><w:pPr><w:spacing w:after="120" w:before="80"/></w:pPr><w:r><w:rPr><w:rFonts w:ascii="Times New Roman" w:cs="Times New Roman" w:eastAsia="Times New Roman" w:hAnsi="Times New Roman"/><w:color w:val="1A1A2E"/><w:sz w:val="24"/><w:szCs w:val="24"/></w:rPr><w:t xml:space="preserve">Across these domains, effective mandatory reporting regimes share several design features: clear definitional criteria for reportable events; graduated reporting timelines based on severity; confidentiality protections for voluntary self-disclosures; independent analysis functions; and mechanisms for systemic lesson-drawing and feedback to the regulated community.</w:t></w:r></w:p><w:p><w:pPr><w:pStyle w:val="Heading1"/></w:pPr><w:r><w:rPr><w:rFonts w:ascii="Arial" w:cs="Arial" w:eastAsia="Arial" w:hAnsi="Arial"/><w:b/><w:bCs/><w:color w:val="1B7A6E"/><w:sz w:val="26"/><w:szCs w:val="26"/></w:rPr><w:t xml:space="preserve">5. Proposed AI Incident Reporting System (AIRS)</w:t></w:r></w:p><w:p><w:pPr><w:spacing w:after="120" w:before="80"/></w:pPr><w:r><w:rPr><w:rFonts w:ascii="Times New Roman" w:cs="Times New Roman" w:eastAsia="Times New Roman" w:hAnsi="Times New Roman"/><w:color w:val="1A1A2E"/><w:sz w:val="24"/><w:szCs w:val="24"/></w:rPr><w:t xml:space="preserve">We propose a mandatory AI Incident Reporting System (AIRS) designed to address the failures of voluntary disclosure while drawing on best practices from analogous domains.</w:t></w:r></w:p><w:p><w:pPr><w:pStyle w:val="Heading2"/></w:pPr><w:r><w:rPr><w:rFonts w:ascii="Arial" w:cs="Arial" w:eastAsia="Arial" w:hAnsi="Arial"/><w:b/><w:bCs/><w:color w:val="1A1A2E"/><w:sz w:val="24"/><w:szCs w:val="24"/></w:rPr><w:t xml:space="preserve">5.1 Coverage</w:t></w:r></w:p><w:p><w:pPr><w:spacing w:after="120" w:before="80"/></w:pPr><w:r><w:rPr><w:rFonts w:ascii="Times New Roman" w:cs="Times New Roman" w:eastAsia="Times New Roman" w:hAnsi="Times New Roman"/><w:color w:val="1A1A2E"/><w:sz w:val="24"/><w:szCs w:val="24"/></w:rPr><w:t xml:space="preserve">AIRS should apply to AI systems deployed in high-stakes contexts, defined initially to include: healthcare decision support, credit and employment screening, criminal justice risk assessment, critical infrastructure management, autonomous vehicles, and AI systems with more than one million active users in any thirty-day period. Coverage should expand over time as administrative capacity develops.</w:t></w:r></w:p><w:p><w:pPr><w:pStyle w:val="Heading2"/></w:pPr><w:r><w:rPr><w:rFonts w:ascii="Arial" w:cs="Arial" w:eastAsia="Arial" w:hAnsi="Arial"/><w:b/><w:bCs/><w:color w:val="1A1A2E"/><w:sz w:val="24"/><w:szCs w:val="24"/></w:rPr><w:t xml:space="preserve">5.2 Reportable Event Criteria</w:t></w:r></w:p><w:p><w:pPr><w:spacing w:after="120" w:before="80"/></w:pPr><w:r><w:rPr><w:rFonts w:ascii="Times New Roman" w:cs="Times New Roman" w:eastAsia="Times New Roman" w:hAnsi="Times New Roman"/><w:color w:val="1A1A2E"/><w:sz w:val="24"/><w:szCs w:val="24"/></w:rPr><w:t xml:space="preserve">A reportable AI incident under AIRS would be any event in which an AI system&apos;s output or decision: (a) caused or contributed to serious physical harm to one or more persons; (b) caused or contributed to significant financial harm to one or more persons; (c) violated applicable legal requirements; (d) resulted in a data breach or unauthorized disclosure; or (e) exhibited behavior significantly inconsistent with the system&apos;s stated capabilities or limitations. Organizations should also report near-miss events meeting specified criteria, analogous to aviation near-miss reporting.</w:t></w:r></w:p><w:p><w:pPr><w:pStyle w:val="Heading2"/></w:pPr><w:r><w:rPr><w:rFonts w:ascii="Arial" w:cs="Arial" w:eastAsia="Arial" w:hAnsi="Arial"/><w:b/><w:bCs/><w:color w:val="1A1A2E"/><w:sz w:val="24"/><w:szCs w:val="24"/></w:rPr><w:t xml:space="preserve">5.3 Disclosure Obligations and Timelines</w:t></w:r></w:p><w:p><w:pPr><w:spacing w:after="120" w:before="80"/></w:pPr><w:r><w:rPr><w:rFonts w:ascii="Times New Roman" w:cs="Times New Roman" w:eastAsia="Times New Roman" w:hAnsi="Times New Roman"/><w:color w:val="1A1A2E"/><w:sz w:val="24"/><w:szCs w:val="24"/></w:rPr><w:t xml:space="preserve">Serious incidents (physical harm, major data breach) should require initial notification within 72 hours of organizational awareness, with a full report within 30 days. Less severe incidents should require reporting within 30 days of awareness. Near-miss events should be reportable on a quarterly consolidated basis.</w:t></w:r></w:p><w:p><w:pPr><w:pStyle w:val="Heading2"/></w:pPr><w:r><w:rPr><w:rFonts w:ascii="Arial" w:cs="Arial" w:eastAsia="Arial" w:hAnsi="Arial"/><w:b/><w:bCs/><w:color w:val="1A1A2E"/><w:sz w:val="24"/><w:szCs w:val="24"/></w:rPr><w:t xml:space="preserve">5.4 Confidentiality Protections</w:t></w:r></w:p><w:p><w:pPr><w:spacing w:after="120" w:before="80"/></w:pPr><w:r><w:rPr><w:rFonts w:ascii="Times New Roman" w:cs="Times New Roman" w:eastAsia="Times New Roman" w:hAnsi="Times New Roman"/><w:color w:val="1A1A2E"/><w:sz w:val="24"/><w:szCs w:val="24"/></w:rPr><w:t xml:space="preserve">To encourage disclosure and address legal liability chilling effects, AIRS should provide: (a) privilege protections for incident reports submitted in compliance with the program, preventing their use as evidence in civil litigation except in cases of intentional misconduct; (b) confidentiality protections for trade secret information submitted to AIRS, with disclosure limited to researchers and regulators with need-to-know; and (c) protection from regulatory enforcement for incidents disclosed voluntarily and promptly, except in cases of gross negligence or intentional wrongdoing.</w:t></w:r></w:p><w:p><w:pPr><w:pStyle w:val="Heading2"/></w:pPr><w:r><w:rPr><w:rFonts w:ascii="Arial" w:cs="Arial" w:eastAsia="Arial" w:hAnsi="Arial"/><w:b/><w:bCs/><w:color w:val="1A1A2E"/><w:sz w:val="24"/><w:szCs w:val="24"/></w:rPr><w:t xml:space="preserve">5.5 Governance Structure</w:t></w:r></w:p><w:p><w:pPr><w:spacing w:after="120" w:before="80"/></w:pPr><w:r><w:rPr><w:rFonts w:ascii="Times New Roman" w:cs="Times New Roman" w:eastAsia="Times New Roman" w:hAnsi="Times New Roman"/><w:color w:val="1A1A2E"/><w:sz w:val="24"/><w:szCs w:val="24"/></w:rPr><w:t xml:space="preserve">AIRS should be administered by an independent agency with the mandate, expertise, and authority to analyze AI incidents and develop safety guidance. This agency should: maintain a public-facing incident database with appropriate redactions; conduct systematic analysis of incident patterns and root causes; issue safety recommendations to developers, deployers, and policymakers; and coordinate with sector-specific regulators in healthcare, finance, transportation, and other covered domains.</w:t></w:r></w:p><w:p><w:pPr><w:pStyle w:val="Heading2"/></w:pPr><w:r><w:rPr><w:rFonts w:ascii="Arial" w:cs="Arial" w:eastAsia="Arial" w:hAnsi="Arial"/><w:b/><w:bCs/><w:color w:val="1A1A2E"/><w:sz w:val="24"/><w:szCs w:val="24"/></w:rPr><w:t xml:space="preserve">5.6 International Coordination</w:t></w:r></w:p><w:p><w:pPr><w:spacing w:after="120" w:before="80"/></w:pPr><w:r><w:rPr><w:rFonts w:ascii="Times New Roman" w:cs="Times New Roman" w:eastAsia="Times New Roman" w:hAnsi="Times New Roman"/><w:color w:val="1A1A2E"/><w:sz w:val="24"/><w:szCs w:val="24"/></w:rPr><w:t xml:space="preserve">AI systems operate across national boundaries, and incident reporting regimes will be most effective if coordinated internationally. AIRS should be designed for compatibility with emerging EU AI Act incident reporting requirements and with international standards bodies including ISO and IEC. Mutual recognition agreements with allied nations&apos; regulatory bodies should be pursued.</w:t></w:r></w:p><w:p><w:pPr><w:pStyle w:val="Heading1"/></w:pPr><w:r><w:rPr><w:rFonts w:ascii="Arial" w:cs="Arial" w:eastAsia="Arial" w:hAnsi="Arial"/><w:b/><w:bCs/><w:color w:val="1B7A6E"/><w:sz w:val="26"/><w:szCs w:val="26"/></w:rPr><w:t xml:space="preserve">6. Addressing Objections</w:t></w:r></w:p><w:p><w:pPr><w:pStyle w:val="Heading2"/></w:pPr><w:r><w:rPr><w:rFonts w:ascii="Arial" w:cs="Arial" w:eastAsia="Arial" w:hAnsi="Arial"/><w:b/><w:bCs/><w:color w:val="1A1A2E"/><w:sz w:val="24"/><w:szCs w:val="24"/></w:rPr><w:t xml:space="preserve">6.1 &apos;Mandatory Reporting Will Chill Innovation&apos;</w:t></w:r></w:p><w:p><w:pPr><w:spacing w:after="120" w:before="80"/></w:pPr><w:r><w:rPr><w:rFonts w:ascii="Times New Roman" w:cs="Times New Roman" w:eastAsia="Times New Roman" w:hAnsi="Times New Roman"/><w:color w:val="1A1A2E"/><w:sz w:val="24"/><w:szCs w:val="24"/></w:rPr><w:t xml:space="preserve">This objection misconstrues the innovation dynamic. Voluntary reporting does not create a level playing field—it creates a field tilted toward organizations willing to externalize safety risks onto users and society. Mandatory reporting levels the playing field by ensuring all organizations bear the same disclosure obligations. Moreover, safety information generated by AIRS would be available to all covered organizations, potentially accelerating shared learning.</w:t></w:r></w:p><w:p><w:pPr><w:pStyle w:val="Heading2"/></w:pPr><w:r><w:rPr><w:rFonts w:ascii="Arial" w:cs="Arial" w:eastAsia="Arial" w:hAnsi="Arial"/><w:b/><w:bCs/><w:color w:val="1A1A2E"/><w:sz w:val="24"/><w:szCs w:val="24"/></w:rPr><w:t xml:space="preserve">6.2 &apos;Definition of AI Incidents Is Too Contested&apos;</w:t></w:r></w:p><w:p><w:pPr><w:spacing w:after="120" w:before="80"/></w:pPr><w:r><w:rPr><w:rFonts w:ascii="Times New Roman" w:cs="Times New Roman" w:eastAsia="Times New Roman" w:hAnsi="Times New Roman"/><w:color w:val="1A1A2E"/><w:sz w:val="24"/><w:szCs w:val="24"/></w:rPr><w:t xml:space="preserve">Definitional challenges are real but not unique to AI—aviation, nuclear, and pharmaceutical reporting regimes all involved significant definitional work before achieving stability. AIRS should begin with conservative coverage criteria and expand as definitional clarity develops, rather than waiting for perfect definitional consensus before beginning.</w:t></w:r></w:p><w:p><w:pPr><w:pStyle w:val="Heading2"/></w:pPr><w:r><w:rPr><w:rFonts w:ascii="Arial" w:cs="Arial" w:eastAsia="Arial" w:hAnsi="Arial"/><w:b/><w:bCs/><w:color w:val="1A1A2E"/><w:sz w:val="24"/><w:szCs w:val="24"/></w:rPr><w:t xml:space="preserve">6.3 &apos;Confidential Business Information Cannot Be Adequately Protected&apos;</w:t></w:r></w:p><w:p><w:pPr><w:spacing w:after="120" w:before="80"/></w:pPr><w:r><w:rPr><w:rFonts w:ascii="Times New Roman" w:cs="Times New Roman" w:eastAsia="Times New Roman" w:hAnsi="Times New Roman"/><w:color w:val="1A1A2E"/><w:sz w:val="24"/><w:szCs w:val="24"/></w:rPr><w:t xml:space="preserve">Existing regulatory programs—including pharmaceutical adverse event reporting and financial institution reporting—have developed workable mechanisms for protecting trade secret information while enabling safety oversight. These mechanisms can be adapted for AI incident reporting.</w:t></w:r></w:p><w:p><w:pPr><w:pStyle w:val="Heading1"/></w:pPr><w:r><w:rPr><w:rFonts w:ascii="Arial" w:cs="Arial" w:eastAsia="Arial" w:hAnsi="Arial"/><w:b/><w:bCs/><w:color w:val="1B7A6E"/><w:sz w:val="26"/><w:szCs w:val="26"/></w:rPr><w:t xml:space="preserve">7. Conclusion</w:t></w:r></w:p><w:p><w:pPr><w:spacing w:after="120" w:before="80"/></w:pPr><w:r><w:rPr><w:rFonts w:ascii="Times New Roman" w:cs="Times New Roman" w:eastAsia="Times New Roman" w:hAnsi="Times New Roman"/><w:color w:val="1A1A2E"/><w:sz w:val="24"/><w:szCs w:val="24"/></w:rPr><w:t xml:space="preserve">Voluntary AI incident disclosure has failed to produce the safety information ecosystem that responsible AI governance requires. The structural incentives facing AI developers and deployers systematically suppress disclosure, producing a landscape in which failures are invisible, lessons go unlearned, and risks accumulate undetected. Mandatory incident reporting—designed with appropriate coverage criteria, confidentiality protections, and governance structures—can address these failures. The analogy to aviation, nuclear, and pharmaceutical safety is apt: in each of these domains, mandatory reporting was initially resisted as burdensome but ultimately recognized as a foundation of safety progress. AI governance should not wait for a catastrophic event to produce the same recognition.</w:t></w:r></w:p><w:p><w:pPr><w:pStyle w:val="Heading1"/></w:pPr><w:r><w:rPr><w:rFonts w:ascii="Arial" w:cs="Arial" w:eastAsia="Arial" w:hAnsi="Arial"/><w:b/><w:bCs/><w:color w:val="1B7A6E"/><w:sz w:val="26"/><w:szCs w:val="26"/></w:rPr><w:t xml:space="preserve">References</w:t></w:r></w:p><w:p><w:pPr><w:spacing w:after="60" w:before="60"/><w:ind w:left="720" w:hanging="360"/></w:pPr><w:r><w:rPr><w:rFonts w:ascii="Times New Roman" w:cs="Times New Roman" w:eastAsia="Times New Roman" w:hAnsi="Times New Roman"/><w:color w:val="1A1A2E"/><w:sz w:val="22"/><w:szCs w:val="22"/></w:rPr><w:t xml:space="preserve">Bird, S., Dudík, M., Edgar, R., Horn, B., Lutz, R., Milan, V., ... &amp; Walker, K. (2020). Fairlearn: A toolkit for assessing and improving fairness in AI. Microsoft Research Technical Report.</w:t></w:r></w:p><w:p><w:pPr><w:spacing w:after="60" w:before="60"/><w:ind w:left="720" w:hanging="360"/></w:pPr><w:r><w:rPr><w:rFonts w:ascii="Times New Roman" w:cs="Times New Roman" w:eastAsia="Times New Roman" w:hAnsi="Times New Roman"/><w:color w:val="1A1A2E"/><w:sz w:val="22"/><w:szCs w:val="22"/></w:rPr><w:t xml:space="preserve">Brundage, M., Avin, S., Clark, J., Toner, H., Eckersley, P., Garfinkel, B., ... &amp; Amodei, D. (2018). The malicious use of artificial intelligence: Forecasting, prevention, and mitigation. arXiv:1802.07228.</w:t></w:r></w:p><w:p><w:pPr><w:spacing w:after="60" w:before="60"/><w:ind w:left="720" w:hanging="360"/></w:pPr><w:r><w:rPr><w:rFonts w:ascii="Times New Roman" w:cs="Times New Roman" w:eastAsia="Times New Roman" w:hAnsi="Times New Roman"/><w:color w:val="1A1A2E"/><w:sz w:val="22"/><w:szCs w:val="22"/></w:rPr><w:t xml:space="preserve">Cihon, P., Maas, M. M., &amp; Kemp, L. (2020). Should artificial intelligence governance be centralised? Design lessons from history. AIES 2020.</w:t></w:r></w:p><w:p><w:pPr><w:spacing w:after="60" w:before="60"/><w:ind w:left="720" w:hanging="360"/></w:pPr><w:r><w:rPr><w:rFonts w:ascii="Times New Roman" w:cs="Times New Roman" w:eastAsia="Times New Roman" w:hAnsi="Times New Roman"/><w:color w:val="1A1A2E"/><w:sz w:val="22"/><w:szCs w:val="22"/></w:rPr><w:t xml:space="preserve">Dobbe, R., Gilbert, T. K., &amp; Mintz, Y. (2021). Hard choices in artificial intelligence. Artificial Intelligence, 300, 103555.</w:t></w:r></w:p><w:p><w:pPr><w:spacing w:after="60" w:before="60"/><w:ind w:left="720" w:hanging="360"/></w:pPr><w:r><w:rPr><w:rFonts w:ascii="Times New Roman" w:cs="Times New Roman" w:eastAsia="Times New Roman" w:hAnsi="Times New Roman"/><w:color w:val="1A1A2E"/><w:sz w:val="22"/><w:szCs w:val="22"/></w:rPr><w:t xml:space="preserve">Incident AI. (2023). AI Incident Database annual report 2023. Responsible AI Collaborative.</w:t></w:r></w:p><w:p><w:pPr><w:spacing w:after="60" w:before="60"/><w:ind w:left="720" w:hanging="360"/></w:pPr><w:r><w:rPr><w:rFonts w:ascii="Times New Roman" w:cs="Times New Roman" w:eastAsia="Times New Roman" w:hAnsi="Times New Roman"/><w:color w:val="1A1A2E"/><w:sz w:val="22"/><w:szCs w:val="22"/></w:rPr><w:t xml:space="preserve">McGregor, S. (2021). Preventing repeated real world AI failures by cataloging incidents: The AI Incident Database. AAAI 2021.</w:t></w:r></w:p><w:p><w:pPr><w:spacing w:after="60" w:before="60"/><w:ind w:left="720" w:hanging="360"/></w:pPr><w:r><w:rPr><w:rFonts w:ascii="Times New Roman" w:cs="Times New Roman" w:eastAsia="Times New Roman" w:hAnsi="Times New Roman"/><w:color w:val="1A1A2E"/><w:sz w:val="22"/><w:szCs w:val="22"/></w:rPr><w:t xml:space="preserve">NTSB. (2019). Most wanted transportation safety improvements. National Transportation Safety Board.</w:t></w:r></w:p><w:p><w:pPr><w:spacing w:after="60" w:before="60"/><w:ind w:left="720" w:hanging="360"/></w:pPr><w:r><w:rPr><w:rFonts w:ascii="Times New Roman" w:cs="Times New Roman" w:eastAsia="Times New Roman" w:hAnsi="Times New Roman"/><w:color w:val="1A1A2E"/><w:sz w:val="22"/><w:szCs w:val="22"/></w:rPr><w:t xml:space="preserve">OECD. (2024). OECD AI Policy Observatory incident monitor methodology. OECD Publishing.</w:t></w:r></w:p><w:p><w:pPr><w:spacing w:after="60" w:before="60"/><w:ind w:left="720" w:hanging="360"/></w:pPr><w:r><w:rPr><w:rFonts w:ascii="Times New Roman" w:cs="Times New Roman" w:eastAsia="Times New Roman" w:hAnsi="Times New Roman"/><w:color w:val="1A1A2E"/><w:sz w:val="22"/><w:szCs w:val="22"/></w:rPr><w:t xml:space="preserve">Raji, I. D., Bender, E. M., Paullada, A., Denton, E., &amp; Hanna, A. (2021). AI and the everything in the whole wide world benchmark. NeurIPS 2021 Datasets and Benchmarks.</w:t></w:r></w:p><w:p><w:pPr><w:spacing w:after="60" w:before="60"/><w:ind w:left="720" w:hanging="360"/></w:pPr><w:r><w:rPr><w:rFonts w:ascii="Times New Roman" w:cs="Times New Roman" w:eastAsia="Times New Roman" w:hAnsi="Times New Roman"/><w:color w:val="1A1A2E"/><w:sz w:val="22"/><w:szCs w:val="22"/></w:rPr><w:t xml:space="preserve">Wachter, S., Mittelstadt, B., &amp; Russell, C. (2021). Counterfactual explanations without opening the black box: Automated decisions and the GDPR. Harvard Journal of Law &amp; Technology, 31(2), 841–887.</w:t></w:r></w:p><w:sectPr><w:headerReference w:type="default" r:id="rId7"/><w:footerReference w:type="default" r:id="rId8"/><w:pgSz w:w="12240" w:h="15840" w:orient="portrait"/><w:pgMar w:top="1440" w:right="1440" w:bottom="1440" w:left="1440" w:header="708" w:footer="708" w:gutter="0"/><w:pgNumType/><w:docGrid w:linePitch="360"/></w:sectPr></w:body></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pBdr>
      <w:jc w:val="center"/>
    </w:pPr>
    <w:r>
      <w:rPr>
        <w:rFonts w:ascii="Arial" w:cs="Arial" w:eastAsia="Arial" w:hAnsi="Arial"/>
        <w:color w:val="666666"/>
        <w:sz w:val="18"/>
        <w:szCs w:val="18"/>
      </w:rPr>
      <w:t xml:space="preserve">Safe AI for Humanity Foundation  |  ai-4-h.org  |  Page </w:t>
    </w:r>
    <w:r>
      <w:rPr>
        <w:rFonts w:ascii="Arial" w:cs="Arial" w:eastAsia="Arial" w:hAnsi="Arial"/>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2"/>
      </w:pBdr>
    </w:pPr>
    <w:r>
      <w:rPr>
        <w:rFonts w:ascii="Arial" w:cs="Arial" w:eastAsia="Arial" w:hAnsi="Arial"/>
        <w:color w:val="666666"/>
        <w:sz w:val="18"/>
        <w:szCs w:val="18"/>
      </w:rPr>
      <w:t xml:space="preserve">Safe AI for Humanity Foundation  —  </w:t>
    </w:r>
    <w:r>
      <w:rPr>
        <w:rFonts w:ascii="Arial" w:cs="Arial" w:eastAsia="Arial" w:hAnsi="Arial"/>
        <w:i/>
        <w:iCs/>
        <w:color w:val="666666"/>
        <w:sz w:val="18"/>
        <w:szCs w:val="18"/>
      </w:rPr>
      <w:t xml:space="preserve">AI Incident Reporting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00"/>
      <w:outlineLvl w:val="0"/>
    </w:pPr>
    <w:rPr>
      <w:rFonts w:ascii="Arial" w:cs="Arial" w:eastAsia="Arial" w:hAnsi="Arial"/>
      <w:b/>
      <w:bCs/>
      <w:sz w:val="26"/>
      <w:szCs w:val="26"/>
    </w:rPr>
  </w:style>
  <w:style w:type="paragraph" w:styleId="Heading2">
    <w:name w:val="Heading 2"/>
    <w:basedOn w:val="Normal"/>
    <w:next w:val="Normal"/>
    <w:qFormat/>
    <w:pPr>
      <w:spacing w:after="80" w:before="24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2026-03-10T18:25:06.255Z</dcterms:created>
  <dcterms:modified xsi:type="dcterms:W3CDTF">2026-03-10T18:25:06.255Z</dcterms:modified>
</cp:coreProperties>
</file>

<file path=docProps/custom.xml><?xml version="1.0" encoding="utf-8"?>
<Properties xmlns="http://schemas.openxmlformats.org/officeDocument/2006/custom-properties" xmlns:vt="http://schemas.openxmlformats.org/officeDocument/2006/docPropsVTypes"/>
</file>