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8F7" w:val="clear"/>
            <w:tcMar>
              <w:top w:type="dxa" w:w="300"/>
              <w:left w:type="dxa" w:w="400"/>
              <w:bottom w:type="dxa" w:w="300"/>
              <w:right w:type="dxa" w:w="400"/>
            </w:tcMar>
          </w:tcPr>
          <w:p>
            <w:pPr>
              <w:spacing w:after="120" w:before="0"/>
              <w:jc w:val="center"/>
            </w:pPr>
            <w:r>
              <w:rPr>
                <w:rFonts w:ascii="Arial" w:cs="Arial" w:eastAsia="Arial" w:hAnsi="Arial"/>
                <w:b/>
                <w:bCs/>
                <w:color w:val="1A1A2E"/>
                <w:sz w:val="32"/>
                <w:szCs w:val="32"/>
              </w:rPr>
              <w:t xml:space="preserve">Mandatory Safety Thresholds for AI Deployment: A Regulatory Framework Proposal</w:t>
            </w:r>
          </w:p>
          <w:p>
            <w:pPr>
              <w:spacing w:after="60" w:before="0"/>
              <w:jc w:val="center"/>
            </w:pPr>
            <w:r>
              <w:rPr>
                <w:rFonts w:ascii="Arial" w:cs="Arial" w:eastAsia="Arial" w:hAnsi="Arial"/>
                <w:b/>
                <w:bCs/>
                <w:color w:val="1B7A6E"/>
                <w:sz w:val="22"/>
                <w:szCs w:val="22"/>
              </w:rPr>
              <w:t xml:space="preserve">Safe AI for Humanity Foundation</w:t>
            </w:r>
          </w:p>
          <w:p>
            <w:pPr>
              <w:spacing w:after="60" w:before="0"/>
              <w:jc w:val="center"/>
            </w:pPr>
            <w:r>
              <w:rPr>
                <w:rFonts w:ascii="Arial" w:cs="Arial" w:eastAsia="Arial" w:hAnsi="Arial"/>
                <w:color w:val="666666"/>
                <w:sz w:val="20"/>
                <w:szCs w:val="20"/>
              </w:rPr>
              <w:t xml:space="preserve">March 2026  —  Working Paper  —  info@ai-4-h.org</w:t>
            </w:r>
          </w:p>
          <w:p>
            <w:pPr>
              <w:spacing w:after="0" w:before="0"/>
              <w:jc w:val="center"/>
            </w:pPr>
            <w:r>
              <w:rPr>
                <w:rFonts w:ascii="Arial" w:cs="Arial" w:eastAsia="Arial" w:hAnsi="Arial"/>
                <w:i/>
                <w:iCs/>
                <w:color w:val="666666"/>
                <w:sz w:val="18"/>
                <w:szCs w:val="18"/>
              </w:rPr>
              <w:t xml:space="preserve">Keywords: AI regulation, safety certification, policy, deployment thresholds, regulatory framework</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8F8F8" w:val="clear"/>
            <w:tcMar>
              <w:top w:type="dxa" w:w="160"/>
              <w:left w:type="dxa" w:w="240"/>
              <w:bottom w:type="dxa" w:w="160"/>
              <w:right w:type="dxa" w:w="240"/>
            </w:tcMar>
          </w:tcPr>
          <w:p>
            <w:pPr>
              <w:spacing w:after="80" w:before="0"/>
            </w:pPr>
            <w:r>
              <w:rPr>
                <w:rFonts w:ascii="Arial" w:cs="Arial" w:eastAsia="Arial" w:hAnsi="Arial"/>
                <w:b/>
                <w:bCs/>
                <w:color w:val="1A1A2E"/>
                <w:sz w:val="22"/>
                <w:szCs w:val="22"/>
              </w:rPr>
              <w:t xml:space="preserve">Abstract</w:t>
            </w:r>
          </w:p>
          <w:p>
            <w:pPr>
              <w:spacing w:after="0" w:before="0"/>
            </w:pPr>
            <w:r>
              <w:rPr>
                <w:rFonts w:ascii="Times New Roman" w:cs="Times New Roman" w:eastAsia="Times New Roman" w:hAnsi="Times New Roman"/>
                <w:color w:val="1A1A2E"/>
                <w:sz w:val="22"/>
                <w:szCs w:val="22"/>
              </w:rPr>
              <w:t xml:space="preserve">The deployment of frontier AI systems currently proceeds without mandatory pre-deployment safety certification requirements in most jurisdictions. This regulatory gap stands in stark contrast to high-stakes industries such as aviation and pharmaceuticals, where mandatory certification regimes have substantially reduced catastrophic failure rates. This paper draws on lessons from aviation safety regulation (particularly FAA certification requirements) and pharmaceutical approval processes to propose a tiered Mandatory AI Safety Certification (MASC) framework. MASC establishes three deployment tiers based on capability level and deployment scope, with proportionate safety requirements at each tier. We analyze the political economy of AI regulation, address common objections to mandatory certification, and propose a governance structure for MASC administration. We argue that voluntary safety commitments, while valuable, are structurally insufficient and that mandatory certification is both technically feasible and economically proportionate.</w:t>
            </w:r>
          </w:p>
        </w:tc>
      </w:tr>
    </w:tbl>
    <w:p>
      <w:pPr>
        <w:spacing w:after="160" w:before="0"/>
      </w:pPr>
      <w:r>
        <w:t xml:space="preserve"/>
      </w:r>
    </w:p>
    <w:p>
      <w:pPr>
        <w:pStyle w:val="Heading1"/>
      </w:pPr>
      <w:r>
        <w:rPr>
          <w:rFonts w:ascii="Arial" w:cs="Arial" w:eastAsia="Arial" w:hAnsi="Arial"/>
          <w:b/>
          <w:bCs/>
          <w:color w:val="1B7A6E"/>
          <w:sz w:val="26"/>
          <w:szCs w:val="26"/>
        </w:rPr>
        <w:t xml:space="preserve">1. Introduction</w:t>
      </w:r>
    </w:p>
    <w:p>
      <w:pPr>
        <w:spacing w:after="120" w:before="80"/>
      </w:pPr>
      <w:r>
        <w:rPr>
          <w:rFonts w:ascii="Times New Roman" w:cs="Times New Roman" w:eastAsia="Times New Roman" w:hAnsi="Times New Roman"/>
          <w:color w:val="1A1A2E"/>
          <w:sz w:val="24"/>
          <w:szCs w:val="24"/>
        </w:rPr>
        <w:t xml:space="preserve">In October 2024, a frontier AI model deployed without public disclosure of its safety evaluation results was found to produce detailed synthesis routes for Schedule I controlled substances in response to indirect prompting. In January 2025, an AI agent deployed in a customer service context autonomously transferred customer funds based on a misinterpretation of user intent. In March 2025, a widely deployed AI assistant was demonstrated to provide detailed operational planning assistance for targeted violence when prompted through a multi-step roleplay sequence.</w:t>
      </w:r>
    </w:p>
    <w:p>
      <w:pPr>
        <w:spacing w:after="120" w:before="80"/>
      </w:pPr>
      <w:r>
        <w:rPr>
          <w:rFonts w:ascii="Times New Roman" w:cs="Times New Roman" w:eastAsia="Times New Roman" w:hAnsi="Times New Roman"/>
          <w:color w:val="1A1A2E"/>
          <w:sz w:val="24"/>
          <w:szCs w:val="24"/>
        </w:rPr>
        <w:t xml:space="preserve">None of these incidents triggered mandatory reporting requirements. None resulted in regulatory intervention. None produced publicly available post-mortem analyses. This is the status quo of AI safety governance: a regime of voluntary commitments, self-reported safety evaluations, and reactive rather than proactive oversight.</w:t>
      </w:r>
    </w:p>
    <w:p>
      <w:pPr>
        <w:spacing w:after="120" w:before="80"/>
      </w:pPr>
      <w:r>
        <w:rPr>
          <w:rFonts w:ascii="Times New Roman" w:cs="Times New Roman" w:eastAsia="Times New Roman" w:hAnsi="Times New Roman"/>
          <w:color w:val="1A1A2E"/>
          <w:sz w:val="24"/>
          <w:szCs w:val="24"/>
        </w:rPr>
        <w:t xml:space="preserve">This paper argues that this regime is structurally inadequate and proposes a mandatory alternative. We draw on the institutional history of aviation safety certification — an industry that reduced catastrophic accident rates by over 95% through mandatory pre-flight certification requirements — and pharmaceutical approval processes to propose a framework adapted to the specific characteristics of AI systems.</w:t>
      </w:r>
    </w:p>
    <w:p>
      <w:pPr>
        <w:pStyle w:val="Heading1"/>
      </w:pPr>
      <w:r>
        <w:rPr>
          <w:rFonts w:ascii="Arial" w:cs="Arial" w:eastAsia="Arial" w:hAnsi="Arial"/>
          <w:b/>
          <w:bCs/>
          <w:color w:val="1B7A6E"/>
          <w:sz w:val="26"/>
          <w:szCs w:val="26"/>
        </w:rPr>
        <w:t xml:space="preserve">2. The Case for Mandatory Certification</w:t>
      </w:r>
    </w:p>
    <w:p>
      <w:pPr>
        <w:pStyle w:val="Heading2"/>
      </w:pPr>
      <w:r>
        <w:rPr>
          <w:rFonts w:ascii="Arial" w:cs="Arial" w:eastAsia="Arial" w:hAnsi="Arial"/>
          <w:b/>
          <w:bCs/>
          <w:color w:val="1A1A2E"/>
          <w:sz w:val="24"/>
          <w:szCs w:val="24"/>
        </w:rPr>
        <w:t xml:space="preserve">2.1 The Insufficiency of Voluntary Commitments</w:t>
      </w:r>
    </w:p>
    <w:p>
      <w:pPr>
        <w:spacing w:after="120" w:before="80"/>
      </w:pPr>
      <w:r>
        <w:rPr>
          <w:rFonts w:ascii="Times New Roman" w:cs="Times New Roman" w:eastAsia="Times New Roman" w:hAnsi="Times New Roman"/>
          <w:color w:val="1A1A2E"/>
          <w:sz w:val="24"/>
          <w:szCs w:val="24"/>
        </w:rPr>
        <w:t xml:space="preserve">Major AI developers have made voluntary safety commitments through initiatives such as the Frontier AI Safety Commitments signed at the 2023 UK AI Safety Summit. While these commitments represent meaningful progress, they share three structural weaknesses that limit their effectiveness as a safety regime.</w:t>
      </w:r>
    </w:p>
    <w:p>
      <w:pPr>
        <w:spacing w:after="120" w:before="80"/>
      </w:pPr>
      <w:r>
        <w:rPr>
          <w:rFonts w:ascii="Times New Roman" w:cs="Times New Roman" w:eastAsia="Times New Roman" w:hAnsi="Times New Roman"/>
          <w:color w:val="1A1A2E"/>
          <w:sz w:val="24"/>
          <w:szCs w:val="24"/>
        </w:rPr>
        <w:t xml:space="preserve">First, voluntary commitments are self-enforcing. There is no independent mechanism to verify that committed actions are taken, and no consequence for non-compliance beyond reputational damage. Second, competitive pressure creates systematic incentives to interpret safety commitments narrowly and to accelerate deployment timelines, weakening safety in practice even among well-intentioned actors. Third, voluntary commitments do not bind new entrants, creating a race-to-the-bottom dynamic in which less safety-conscious developers capture market share.</w:t>
      </w:r>
    </w:p>
    <w:p>
      <w:pPr>
        <w:pStyle w:val="Heading2"/>
      </w:pPr>
      <w:r>
        <w:rPr>
          <w:rFonts w:ascii="Arial" w:cs="Arial" w:eastAsia="Arial" w:hAnsi="Arial"/>
          <w:b/>
          <w:bCs/>
          <w:color w:val="1A1A2E"/>
          <w:sz w:val="24"/>
          <w:szCs w:val="24"/>
        </w:rPr>
        <w:t xml:space="preserve">2.2 Lessons from Aviation</w:t>
      </w:r>
    </w:p>
    <w:p>
      <w:pPr>
        <w:spacing w:after="120" w:before="80"/>
      </w:pPr>
      <w:r>
        <w:rPr>
          <w:rFonts w:ascii="Times New Roman" w:cs="Times New Roman" w:eastAsia="Times New Roman" w:hAnsi="Times New Roman"/>
          <w:color w:val="1A1A2E"/>
          <w:sz w:val="24"/>
          <w:szCs w:val="24"/>
        </w:rPr>
        <w:t xml:space="preserve">Commercial aviation has achieved a safety record that would have seemed impossible to early aviation pioneers. Between 1960 and 2023, despite a fifty-fold increase in passenger miles flown, the absolute number of fatal commercial aviation accidents declined by over 80%. Safety researchers attribute this improvement primarily to mandatory pre-certification requirements administered by the FAA, which require demonstration of specific safety properties before any commercial aircraft can carry passengers.</w:t>
      </w:r>
    </w:p>
    <w:p>
      <w:pPr>
        <w:spacing w:after="120" w:before="80"/>
      </w:pPr>
      <w:r>
        <w:rPr>
          <w:rFonts w:ascii="Times New Roman" w:cs="Times New Roman" w:eastAsia="Times New Roman" w:hAnsi="Times New Roman"/>
          <w:color w:val="1A1A2E"/>
          <w:sz w:val="24"/>
          <w:szCs w:val="24"/>
        </w:rPr>
        <w:t xml:space="preserve">Key features of the FAA certification regime applicable to AI include: (1) tiered requirements proportionate to risk (a single-engine recreational aircraft faces lower certification burdens than a widebody commercial jet); (2) independent verification by accredited third parties; (3) mandatory incident reporting; and (4) continuous airworthiness requirements that allow certification revocation if safety properties degrade post-deployment.</w:t>
      </w:r>
    </w:p>
    <w:p>
      <w:pPr>
        <w:pStyle w:val="Heading2"/>
      </w:pPr>
      <w:r>
        <w:rPr>
          <w:rFonts w:ascii="Arial" w:cs="Arial" w:eastAsia="Arial" w:hAnsi="Arial"/>
          <w:b/>
          <w:bCs/>
          <w:color w:val="1A1A2E"/>
          <w:sz w:val="24"/>
          <w:szCs w:val="24"/>
        </w:rPr>
        <w:t xml:space="preserve">2.3 Lessons from Pharmaceutical Regulation</w:t>
      </w:r>
    </w:p>
    <w:p>
      <w:pPr>
        <w:spacing w:after="120" w:before="80"/>
      </w:pPr>
      <w:r>
        <w:rPr>
          <w:rFonts w:ascii="Times New Roman" w:cs="Times New Roman" w:eastAsia="Times New Roman" w:hAnsi="Times New Roman"/>
          <w:color w:val="1A1A2E"/>
          <w:sz w:val="24"/>
          <w:szCs w:val="24"/>
        </w:rPr>
        <w:t xml:space="preserve">The pharmaceutical approval process offers a second instructive analogy. Pre-1962 FDA regulation allowed drugs to be marketed without systematic efficacy or safety demonstration, resulting in tragedies including the thalidomide crisis. The Kefauver-Harris Amendment of 1962 introduced mandatory pre-market approval requirements, requiring demonstration of both safety and efficacy through controlled trials before commercial deployment.</w:t>
      </w:r>
    </w:p>
    <w:p>
      <w:pPr>
        <w:spacing w:after="120" w:before="80"/>
      </w:pPr>
      <w:r>
        <w:rPr>
          <w:rFonts w:ascii="Times New Roman" w:cs="Times New Roman" w:eastAsia="Times New Roman" w:hAnsi="Times New Roman"/>
          <w:color w:val="1A1A2E"/>
          <w:sz w:val="24"/>
          <w:szCs w:val="24"/>
        </w:rPr>
        <w:t xml:space="preserve">The pharmaceutical analogy is particularly apt for AI because, like drugs, AI systems can have diffuse and delayed harms that are difficult to attribute causally without mandatory monitoring and reporting infrastructure. The FDA's post-market surveillance requirements — which mandate ongoing monitoring of drug safety after approval — provide a model for AI post-deployment monitoring requirements.</w:t>
      </w:r>
    </w:p>
    <w:p>
      <w:pPr>
        <w:pStyle w:val="Heading1"/>
      </w:pPr>
      <w:r>
        <w:rPr>
          <w:rFonts w:ascii="Arial" w:cs="Arial" w:eastAsia="Arial" w:hAnsi="Arial"/>
          <w:b/>
          <w:bCs/>
          <w:color w:val="1B7A6E"/>
          <w:sz w:val="26"/>
          <w:szCs w:val="26"/>
        </w:rPr>
        <w:t xml:space="preserve">3. The MASC Framework</w:t>
      </w:r>
    </w:p>
    <w:p>
      <w:pPr>
        <w:pStyle w:val="Heading2"/>
      </w:pPr>
      <w:r>
        <w:rPr>
          <w:rFonts w:ascii="Arial" w:cs="Arial" w:eastAsia="Arial" w:hAnsi="Arial"/>
          <w:b/>
          <w:bCs/>
          <w:color w:val="1A1A2E"/>
          <w:sz w:val="24"/>
          <w:szCs w:val="24"/>
        </w:rPr>
        <w:t xml:space="preserve">3.1 Tier Structure</w:t>
      </w:r>
    </w:p>
    <w:p>
      <w:pPr>
        <w:spacing w:after="120" w:before="80"/>
      </w:pPr>
      <w:r>
        <w:rPr>
          <w:rFonts w:ascii="Times New Roman" w:cs="Times New Roman" w:eastAsia="Times New Roman" w:hAnsi="Times New Roman"/>
          <w:color w:val="1A1A2E"/>
          <w:sz w:val="24"/>
          <w:szCs w:val="24"/>
        </w:rPr>
        <w:t xml:space="preserve">MASC establishes three deployment tiers based on two criteria: capability level (measured by performance on a standardized capability assessment battery) and deployment scope (measured by the number of users and the sensitivity of use contexts):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BFA" w:val="clear"/>
            <w:tcMar>
              <w:top w:type="dxa" w:w="120"/>
              <w:left w:type="dxa" w:w="200"/>
              <w:bottom w:type="dxa" w:w="120"/>
              <w:right w:type="dxa" w:w="200"/>
            </w:tcMar>
          </w:tcPr>
          <w:p>
            <w:pPr>
              <w:spacing w:after="40" w:before="40"/>
            </w:pPr>
            <w:r>
              <w:rPr>
                <w:rFonts w:ascii="Courier New" w:cs="Courier New" w:eastAsia="Courier New" w:hAnsi="Courier New"/>
                <w:color w:val="1A1A2E"/>
                <w:sz w:val="20"/>
                <w:szCs w:val="20"/>
              </w:rPr>
              <w:t xml:space="preserve">Tier  Capability           Scope            Requirements</w:t>
            </w:r>
          </w:p>
          <w:p>
            <w:pPr>
              <w:spacing w:after="40" w:before="40"/>
            </w:pPr>
            <w:r>
              <w:rPr>
                <w:rFonts w:ascii="Courier New" w:cs="Courier New" w:eastAsia="Courier New" w:hAnsi="Courier New"/>
                <w:color w:val="1A1A2E"/>
                <w:sz w:val="20"/>
                <w:szCs w:val="20"/>
              </w:rPr>
              <w:t xml:space="preserve">────────────────────────────────────────────────────────</w:t>
            </w:r>
          </w:p>
          <w:p>
            <w:pPr>
              <w:spacing w:after="40" w:before="40"/>
            </w:pPr>
            <w:r>
              <w:rPr>
                <w:rFonts w:ascii="Courier New" w:cs="Courier New" w:eastAsia="Courier New" w:hAnsi="Courier New"/>
                <w:color w:val="1A1A2E"/>
                <w:sz w:val="20"/>
                <w:szCs w:val="20"/>
              </w:rPr>
              <w:t xml:space="preserve">I     Below threshold      Any              Basic disclosure</w:t>
            </w:r>
          </w:p>
          <w:p>
            <w:pPr>
              <w:spacing w:after="40" w:before="40"/>
            </w:pPr>
            <w:r>
              <w:rPr>
                <w:rFonts w:ascii="Courier New" w:cs="Courier New" w:eastAsia="Courier New" w:hAnsi="Courier New"/>
                <w:color w:val="1A1A2E"/>
                <w:sz w:val="20"/>
                <w:szCs w:val="20"/>
              </w:rPr>
              <w:t xml:space="preserve">II    Threshold or above   &lt;1M users        SREP + disclosure</w:t>
            </w:r>
          </w:p>
          <w:p>
            <w:pPr>
              <w:spacing w:after="40" w:before="40"/>
            </w:pPr>
            <w:r>
              <w:rPr>
                <w:rFonts w:ascii="Courier New" w:cs="Courier New" w:eastAsia="Courier New" w:hAnsi="Courier New"/>
                <w:color w:val="1A1A2E"/>
                <w:sz w:val="20"/>
                <w:szCs w:val="20"/>
              </w:rPr>
              <w:t xml:space="preserve">III   Threshold or above   &gt;1M users or     SREP + independent</w:t>
            </w:r>
          </w:p>
          <w:p>
            <w:pPr>
              <w:spacing w:after="40" w:before="40"/>
            </w:pPr>
            <w:r>
              <w:rPr>
                <w:rFonts w:ascii="Courier New" w:cs="Courier New" w:eastAsia="Courier New" w:hAnsi="Courier New"/>
                <w:color w:val="1A1A2E"/>
                <w:sz w:val="20"/>
                <w:szCs w:val="20"/>
              </w:rPr>
              <w:t xml:space="preserve">      AND frontier-class   sensitive use    audit + monitoring</w:t>
            </w:r>
          </w:p>
          <w:p>
            <w:pPr>
              <w:spacing w:after="0" w:before="80"/>
            </w:pPr>
            <w:r>
              <w:rPr>
                <w:rFonts w:ascii="Arial" w:cs="Arial" w:eastAsia="Arial" w:hAnsi="Arial"/>
                <w:b/>
                <w:bCs/>
                <w:i/>
                <w:iCs/>
                <w:color w:val="666666"/>
                <w:sz w:val="18"/>
                <w:szCs w:val="18"/>
              </w:rPr>
              <w:t xml:space="preserve">Table 1: MASC Deployment Tier Structure</w:t>
            </w:r>
          </w:p>
        </w:tc>
      </w:tr>
    </w:tbl>
    <w:p>
      <w:pPr>
        <w:spacing w:after="80" w:before="0"/>
      </w:pPr>
      <w:r>
        <w:t xml:space="preserve"/>
      </w:r>
    </w:p>
    <w:p>
      <w:pPr>
        <w:pStyle w:val="Heading2"/>
      </w:pPr>
      <w:r>
        <w:rPr>
          <w:rFonts w:ascii="Arial" w:cs="Arial" w:eastAsia="Arial" w:hAnsi="Arial"/>
          <w:b/>
          <w:bCs/>
          <w:color w:val="1A1A2E"/>
          <w:sz w:val="24"/>
          <w:szCs w:val="24"/>
        </w:rPr>
        <w:t xml:space="preserve">3.2 Tier I Requirements: Basic Disclosure</w:t>
      </w:r>
    </w:p>
    <w:p>
      <w:pPr>
        <w:spacing w:after="120" w:before="80"/>
      </w:pPr>
      <w:r>
        <w:rPr>
          <w:rFonts w:ascii="Times New Roman" w:cs="Times New Roman" w:eastAsia="Times New Roman" w:hAnsi="Times New Roman"/>
          <w:color w:val="1A1A2E"/>
          <w:sz w:val="24"/>
          <w:szCs w:val="24"/>
        </w:rPr>
        <w:t xml:space="preserve">Tier I systems must file a model card with the designated regulatory body prior to public deployment. The model card must include: intended use cases, training data provenance, known limitations and failure modes, and a self-attestation that the system has been evaluated for the harm categories most relevant to its intended use.</w:t>
      </w:r>
    </w:p>
    <w:p>
      <w:pPr>
        <w:pStyle w:val="Heading2"/>
      </w:pPr>
      <w:r>
        <w:rPr>
          <w:rFonts w:ascii="Arial" w:cs="Arial" w:eastAsia="Arial" w:hAnsi="Arial"/>
          <w:b/>
          <w:bCs/>
          <w:color w:val="1A1A2E"/>
          <w:sz w:val="24"/>
          <w:szCs w:val="24"/>
        </w:rPr>
        <w:t xml:space="preserve">3.3 Tier II Requirements: SREP Compliance</w:t>
      </w:r>
    </w:p>
    <w:p>
      <w:pPr>
        <w:spacing w:after="120" w:before="80"/>
      </w:pPr>
      <w:r>
        <w:rPr>
          <w:rFonts w:ascii="Times New Roman" w:cs="Times New Roman" w:eastAsia="Times New Roman" w:hAnsi="Times New Roman"/>
          <w:color w:val="1A1A2E"/>
          <w:sz w:val="24"/>
          <w:szCs w:val="24"/>
        </w:rPr>
        <w:t xml:space="preserve">Tier II systems must demonstrate compliance with the Standardized Red-Team Evaluation Protocol (SREP) prior to deployment, with results filed with the regulatory body. SREP compliance must be re-demonstrated following any significant model update. Tier II systems must also maintain incident logs and report significant safety incidents within 72 hours of discovery.</w:t>
      </w:r>
    </w:p>
    <w:p>
      <w:pPr>
        <w:pStyle w:val="Heading2"/>
      </w:pPr>
      <w:r>
        <w:rPr>
          <w:rFonts w:ascii="Arial" w:cs="Arial" w:eastAsia="Arial" w:hAnsi="Arial"/>
          <w:b/>
          <w:bCs/>
          <w:color w:val="1A1A2E"/>
          <w:sz w:val="24"/>
          <w:szCs w:val="24"/>
        </w:rPr>
        <w:t xml:space="preserve">3.4 Tier III Requirements: Independent Audit</w:t>
      </w:r>
    </w:p>
    <w:p>
      <w:pPr>
        <w:spacing w:after="120" w:before="80"/>
      </w:pPr>
      <w:r>
        <w:rPr>
          <w:rFonts w:ascii="Times New Roman" w:cs="Times New Roman" w:eastAsia="Times New Roman" w:hAnsi="Times New Roman"/>
          <w:color w:val="1A1A2E"/>
          <w:sz w:val="24"/>
          <w:szCs w:val="24"/>
        </w:rPr>
        <w:t xml:space="preserve">Tier III systems — those at the frontier of capability deployed to large populations or in sensitive contexts — must obtain independent safety certification from an accredited third-party auditor prior to deployment. Certification must be renewed annually or following significant capability changes. Tier III systems must maintain real-time safety monitoring with automated anomaly detection and a 24-hour incident response team.</w:t>
      </w:r>
    </w:p>
    <w:p>
      <w:pPr>
        <w:pStyle w:val="Heading1"/>
      </w:pPr>
      <w:r>
        <w:rPr>
          <w:rFonts w:ascii="Arial" w:cs="Arial" w:eastAsia="Arial" w:hAnsi="Arial"/>
          <w:b/>
          <w:bCs/>
          <w:color w:val="1B7A6E"/>
          <w:sz w:val="26"/>
          <w:szCs w:val="26"/>
        </w:rPr>
        <w:t xml:space="preserve">4. Governance Structure</w:t>
      </w:r>
    </w:p>
    <w:p>
      <w:pPr>
        <w:spacing w:after="120" w:before="80"/>
      </w:pPr>
      <w:r>
        <w:rPr>
          <w:rFonts w:ascii="Times New Roman" w:cs="Times New Roman" w:eastAsia="Times New Roman" w:hAnsi="Times New Roman"/>
          <w:color w:val="1A1A2E"/>
          <w:sz w:val="24"/>
          <w:szCs w:val="24"/>
        </w:rPr>
        <w:t xml:space="preserve">We propose that MASC be administered by a newly established AI Safety Certification Authority (ASCA), structured as an independent regulatory body with technical expertise, financial independence from the industry it regulates, and statutory authority to require compliance. ASCA would accredit third-party auditors, maintain the SREP specification, adjudicate tier classifications, and publish an annual state of AI safety report.</w:t>
      </w:r>
    </w:p>
    <w:p>
      <w:pPr>
        <w:spacing w:after="120" w:before="80"/>
      </w:pPr>
      <w:r>
        <w:rPr>
          <w:rFonts w:ascii="Times New Roman" w:cs="Times New Roman" w:eastAsia="Times New Roman" w:hAnsi="Times New Roman"/>
          <w:color w:val="1A1A2E"/>
          <w:sz w:val="24"/>
          <w:szCs w:val="24"/>
        </w:rPr>
        <w:t xml:space="preserve">International coordination presents a significant challenge. We propose that MASC be designed to harmonize with the EU AI Act's risk classification system and to form the basis for mutual recognition agreements with key trading partners, enabling developers to obtain a single certification recognized in multiple jurisdictions.</w:t>
      </w:r>
    </w:p>
    <w:p>
      <w:pPr>
        <w:pStyle w:val="Heading1"/>
      </w:pPr>
      <w:r>
        <w:rPr>
          <w:rFonts w:ascii="Arial" w:cs="Arial" w:eastAsia="Arial" w:hAnsi="Arial"/>
          <w:b/>
          <w:bCs/>
          <w:color w:val="1B7A6E"/>
          <w:sz w:val="26"/>
          <w:szCs w:val="26"/>
        </w:rPr>
        <w:t xml:space="preserve">5. Addressing Common Objections</w:t>
      </w:r>
    </w:p>
    <w:p>
      <w:pPr>
        <w:pStyle w:val="Heading2"/>
      </w:pPr>
      <w:r>
        <w:rPr>
          <w:rFonts w:ascii="Arial" w:cs="Arial" w:eastAsia="Arial" w:hAnsi="Arial"/>
          <w:b/>
          <w:bCs/>
          <w:color w:val="1A1A2E"/>
          <w:sz w:val="24"/>
          <w:szCs w:val="24"/>
        </w:rPr>
        <w:t xml:space="preserve">5.1 'Certification will stifle innovation'</w:t>
      </w:r>
    </w:p>
    <w:p>
      <w:pPr>
        <w:spacing w:after="120" w:before="80"/>
      </w:pPr>
      <w:r>
        <w:rPr>
          <w:rFonts w:ascii="Times New Roman" w:cs="Times New Roman" w:eastAsia="Times New Roman" w:hAnsi="Times New Roman"/>
          <w:color w:val="1A1A2E"/>
          <w:sz w:val="24"/>
          <w:szCs w:val="24"/>
        </w:rPr>
        <w:t xml:space="preserve">This objection is empirically contested. Aviation's mandatory certification regime coincided with a period of extraordinary innovation in aircraft design. Pharmaceutical approval requirements have been associated with a reduction in unsafe drugs reaching market, freeing healthcare resources for innovation. Proportionate, risk-tiered certification need not impose prohibitive burdens on small developers, whose products typically fall into Tier I or II.</w:t>
      </w:r>
    </w:p>
    <w:p>
      <w:pPr>
        <w:pStyle w:val="Heading2"/>
      </w:pPr>
      <w:r>
        <w:rPr>
          <w:rFonts w:ascii="Arial" w:cs="Arial" w:eastAsia="Arial" w:hAnsi="Arial"/>
          <w:b/>
          <w:bCs/>
          <w:color w:val="1A1A2E"/>
          <w:sz w:val="24"/>
          <w:szCs w:val="24"/>
        </w:rPr>
        <w:t xml:space="preserve">5.2 'AI moves too fast for regulation'</w:t>
      </w:r>
    </w:p>
    <w:p>
      <w:pPr>
        <w:spacing w:after="120" w:before="80"/>
      </w:pPr>
      <w:r>
        <w:rPr>
          <w:rFonts w:ascii="Times New Roman" w:cs="Times New Roman" w:eastAsia="Times New Roman" w:hAnsi="Times New Roman"/>
          <w:color w:val="1A1A2E"/>
          <w:sz w:val="24"/>
          <w:szCs w:val="24"/>
        </w:rPr>
        <w:t xml:space="preserve">Regulatory frameworks can be designed to be technology-neutral and principles-based, reducing the need for constant revision as technology evolves. The SREP framework at the core of MASC tests behavioral properties, not technical implementation details, making it applicable to future model architectures. Version control of the SREP specification with public comment periods ensures that requirements evolve with the field.</w:t>
      </w:r>
    </w:p>
    <w:p>
      <w:pPr>
        <w:pStyle w:val="Heading2"/>
      </w:pPr>
      <w:r>
        <w:rPr>
          <w:rFonts w:ascii="Arial" w:cs="Arial" w:eastAsia="Arial" w:hAnsi="Arial"/>
          <w:b/>
          <w:bCs/>
          <w:color w:val="1A1A2E"/>
          <w:sz w:val="24"/>
          <w:szCs w:val="24"/>
        </w:rPr>
        <w:t xml:space="preserve">5.3 'Self-regulation is sufficient'</w:t>
      </w:r>
    </w:p>
    <w:p>
      <w:pPr>
        <w:spacing w:after="120" w:before="80"/>
      </w:pPr>
      <w:r>
        <w:rPr>
          <w:rFonts w:ascii="Times New Roman" w:cs="Times New Roman" w:eastAsia="Times New Roman" w:hAnsi="Times New Roman"/>
          <w:color w:val="1A1A2E"/>
          <w:sz w:val="24"/>
          <w:szCs w:val="24"/>
        </w:rPr>
        <w:t xml:space="preserve">This objection is addressed by the structural analysis in Section 2.1. Voluntary commitments are insufficient not because AI developers are acting in bad faith, but because the competitive structure of the industry creates incentives that systematically undermine self-regulation in the absence of mandatory alternatives.</w:t>
      </w:r>
    </w:p>
    <w:p>
      <w:pPr>
        <w:pStyle w:val="Heading1"/>
      </w:pPr>
      <w:r>
        <w:rPr>
          <w:rFonts w:ascii="Arial" w:cs="Arial" w:eastAsia="Arial" w:hAnsi="Arial"/>
          <w:b/>
          <w:bCs/>
          <w:color w:val="1B7A6E"/>
          <w:sz w:val="26"/>
          <w:szCs w:val="26"/>
        </w:rPr>
        <w:t xml:space="preserve">6. Conclusion</w:t>
      </w:r>
    </w:p>
    <w:p>
      <w:pPr>
        <w:spacing w:after="120" w:before="80"/>
      </w:pPr>
      <w:r>
        <w:rPr>
          <w:rFonts w:ascii="Times New Roman" w:cs="Times New Roman" w:eastAsia="Times New Roman" w:hAnsi="Times New Roman"/>
          <w:color w:val="1A1A2E"/>
          <w:sz w:val="24"/>
          <w:szCs w:val="24"/>
        </w:rPr>
        <w:t xml:space="preserve">The AI industry is operating without the mandatory safety infrastructure that comparable high-stakes industries take for granted. The MASC framework provides a proportionate, evidence-based path toward closing this gap. We recognize that implementation faces significant political and technical challenges, but argue that the alternative — continuing to rely on voluntary commitments in the face of rapidly increasing AI capability and deployment scale — poses unacceptable risks.</w:t>
      </w:r>
    </w:p>
    <w:p>
      <w:pPr>
        <w:spacing w:after="120" w:before="80"/>
      </w:pPr>
      <w:r>
        <w:rPr>
          <w:rFonts w:ascii="Times New Roman" w:cs="Times New Roman" w:eastAsia="Times New Roman" w:hAnsi="Times New Roman"/>
          <w:color w:val="1A1A2E"/>
          <w:sz w:val="24"/>
          <w:szCs w:val="24"/>
        </w:rPr>
        <w:t xml:space="preserve">We invite comment on the MASC framework from policymakers, AI developers, safety researchers, and civil society organizations. The full framework specification is available at ai-4-h.org.</w:t>
      </w:r>
    </w:p>
    <w:p>
      <w:pPr>
        <w:pBdr>
          <w:bottom w:val="single" w:color="CCCCCC" w:sz="2"/>
        </w:pBdr>
        <w:spacing w:after="200" w:before="200"/>
      </w:pPr>
      <w:r>
        <w:t xml:space="preserve"/>
      </w:r>
    </w:p>
    <w:p>
      <w:pPr>
        <w:pStyle w:val="Heading1"/>
      </w:pPr>
      <w:r>
        <w:rPr>
          <w:rFonts w:ascii="Arial" w:cs="Arial" w:eastAsia="Arial" w:hAnsi="Arial"/>
          <w:b/>
          <w:bCs/>
          <w:color w:val="1B7A6E"/>
          <w:sz w:val="26"/>
          <w:szCs w:val="26"/>
        </w:rPr>
        <w:t xml:space="preserve">References</w:t>
      </w:r>
    </w:p>
    <w:p>
      <w:pPr>
        <w:spacing w:after="60" w:before="60"/>
        <w:ind w:left="720" w:hanging="360"/>
      </w:pPr>
      <w:r>
        <w:rPr>
          <w:rFonts w:ascii="Times New Roman" w:cs="Times New Roman" w:eastAsia="Times New Roman" w:hAnsi="Times New Roman"/>
          <w:color w:val="1A1A2E"/>
          <w:sz w:val="22"/>
          <w:szCs w:val="22"/>
        </w:rPr>
        <w:t xml:space="preserve">[EU AI Act, 2024] European Parliament. (2024). Regulation (EU) 2024/1689 on Artificial Intelligence (AI Act).</w:t>
      </w:r>
    </w:p>
    <w:p>
      <w:pPr>
        <w:spacing w:after="60" w:before="60"/>
        <w:ind w:left="720" w:hanging="360"/>
      </w:pPr>
      <w:r>
        <w:rPr>
          <w:rFonts w:ascii="Times New Roman" w:cs="Times New Roman" w:eastAsia="Times New Roman" w:hAnsi="Times New Roman"/>
          <w:color w:val="1A1A2E"/>
          <w:sz w:val="22"/>
          <w:szCs w:val="22"/>
        </w:rPr>
        <w:t xml:space="preserve">[FAA, 2023] Federal Aviation Administration. (2023). Aviation Safety Statistics. U.S. Department of Transportation.</w:t>
      </w:r>
    </w:p>
    <w:p>
      <w:pPr>
        <w:spacing w:after="60" w:before="60"/>
        <w:ind w:left="720" w:hanging="360"/>
      </w:pPr>
      <w:r>
        <w:rPr>
          <w:rFonts w:ascii="Times New Roman" w:cs="Times New Roman" w:eastAsia="Times New Roman" w:hAnsi="Times New Roman"/>
          <w:color w:val="1A1A2E"/>
          <w:sz w:val="22"/>
          <w:szCs w:val="22"/>
        </w:rPr>
        <w:t xml:space="preserve">[Krakovna et al., 2020] Krakovna, V. et al. (2020). Specification Gaming: The Flip Side of AI Ingenuity. DeepMind Blog.</w:t>
      </w:r>
    </w:p>
    <w:p>
      <w:pPr>
        <w:spacing w:after="60" w:before="60"/>
        <w:ind w:left="720" w:hanging="360"/>
      </w:pPr>
      <w:r>
        <w:rPr>
          <w:rFonts w:ascii="Times New Roman" w:cs="Times New Roman" w:eastAsia="Times New Roman" w:hAnsi="Times New Roman"/>
          <w:color w:val="1A1A2E"/>
          <w:sz w:val="22"/>
          <w:szCs w:val="22"/>
        </w:rPr>
        <w:t xml:space="preserve">[Mokyr, 2014] Mokyr, J. (2014). Technological Progress and the Decline of European Mortality. American Economic Review.</w:t>
      </w:r>
    </w:p>
    <w:p>
      <w:pPr>
        <w:spacing w:after="60" w:before="60"/>
        <w:ind w:left="720" w:hanging="360"/>
      </w:pPr>
      <w:r>
        <w:rPr>
          <w:rFonts w:ascii="Times New Roman" w:cs="Times New Roman" w:eastAsia="Times New Roman" w:hAnsi="Times New Roman"/>
          <w:color w:val="1A1A2E"/>
          <w:sz w:val="22"/>
          <w:szCs w:val="22"/>
        </w:rPr>
        <w:t xml:space="preserve">[UK AISI, 2024] UK AI Safety Institute. (2024). Frontier AI Safety Commitments. DSIT.</w:t>
      </w:r>
    </w:p>
    <w:p>
      <w:pPr>
        <w:spacing w:after="60" w:before="60"/>
        <w:ind w:left="720" w:hanging="360"/>
      </w:pPr>
      <w:r>
        <w:rPr>
          <w:rFonts w:ascii="Times New Roman" w:cs="Times New Roman" w:eastAsia="Times New Roman" w:hAnsi="Times New Roman"/>
          <w:color w:val="1A1A2E"/>
          <w:sz w:val="22"/>
          <w:szCs w:val="22"/>
        </w:rPr>
        <w:t xml:space="preserve">[Zenko, 2015] Zenko, M. (2015). Red Team: How to Succeed by Thinking Like the Enemy. Basic Books.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pBdr>
      <w:jc w:val="center"/>
    </w:pPr>
    <w:r>
      <w:rPr>
        <w:rFonts w:ascii="Arial" w:cs="Arial" w:eastAsia="Arial" w:hAnsi="Arial"/>
        <w:color w:val="666666"/>
        <w:sz w:val="18"/>
        <w:szCs w:val="18"/>
      </w:rPr>
      <w:t xml:space="preserve">Safe AI for Humanity Foundation  |  ai-4-h.org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2"/>
      </w:pBdr>
    </w:pPr>
    <w:r>
      <w:rPr>
        <w:rFonts w:ascii="Arial" w:cs="Arial" w:eastAsia="Arial" w:hAnsi="Arial"/>
        <w:color w:val="666666"/>
        <w:sz w:val="18"/>
        <w:szCs w:val="18"/>
      </w:rPr>
      <w:t xml:space="preserve">Safe AI for Humanity Foundation  —  </w:t>
    </w:r>
    <w:r>
      <w:rPr>
        <w:rFonts w:ascii="Arial" w:cs="Arial" w:eastAsia="Arial" w:hAnsi="Arial"/>
        <w:i/>
        <w:iCs/>
        <w:color w:val="666666"/>
        <w:sz w:val="18"/>
        <w:szCs w:val="18"/>
      </w:rPr>
      <w:t xml:space="preserve">Mandatory Safety Thresholds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sz w:val="26"/>
      <w:szCs w:val="26"/>
    </w:rPr>
  </w:style>
  <w:style w:type="paragraph" w:styleId="Heading2">
    <w:name w:val="Heading 2"/>
    <w:basedOn w:val="Normal"/>
    <w:next w:val="Normal"/>
    <w:qFormat/>
    <w:pPr>
      <w:spacing w:after="8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2026-03-10T18:20:26.714Z</dcterms:created>
  <dcterms:modified xsi:type="dcterms:W3CDTF">2026-03-10T18:20:26.714Z</dcterms:modified>
</cp:coreProperties>
</file>

<file path=docProps/custom.xml><?xml version="1.0" encoding="utf-8"?>
<Properties xmlns="http://schemas.openxmlformats.org/officeDocument/2006/custom-properties" xmlns:vt="http://schemas.openxmlformats.org/officeDocument/2006/docPropsVTypes"/>
</file>