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8F7" w:val="clear"/>
            <w:tcMar>
              <w:top w:type="dxa" w:w="300"/>
              <w:left w:type="dxa" w:w="400"/>
              <w:bottom w:type="dxa" w:w="300"/>
              <w:right w:type="dxa" w:w="400"/>
            </w:tcMar>
          </w:tcPr>
          <w:p>
            <w:pPr>
              <w:spacing w:after="120" w:before="0"/>
              <w:jc w:val="center"/>
            </w:pPr>
            <w:r>
              <w:rPr>
                <w:rFonts w:ascii="Arial" w:cs="Arial" w:eastAsia="Arial" w:hAnsi="Arial"/>
                <w:b/>
                <w:bCs/>
                <w:color w:val="1A1A2E"/>
                <w:sz w:val="32"/>
                <w:szCs w:val="32"/>
              </w:rPr>
              <w:t xml:space="preserve">Red-Teaming Benchmarks for Frontier AI Systems: Gaps, Limitations, and a Path Forward</w:t>
            </w:r>
          </w:p>
          <w:p>
            <w:pPr>
              <w:spacing w:after="60" w:before="0"/>
              <w:jc w:val="center"/>
            </w:pPr>
            <w:r>
              <w:rPr>
                <w:rFonts w:ascii="Arial" w:cs="Arial" w:eastAsia="Arial" w:hAnsi="Arial"/>
                <w:b/>
                <w:bCs/>
                <w:color w:val="1B7A6E"/>
                <w:sz w:val="22"/>
                <w:szCs w:val="22"/>
              </w:rPr>
              <w:t xml:space="preserve">Safe AI for Humanity Foundation</w:t>
            </w:r>
          </w:p>
          <w:p>
            <w:pPr>
              <w:spacing w:after="60" w:before="0"/>
              <w:jc w:val="center"/>
            </w:pPr>
            <w:r>
              <w:rPr>
                <w:rFonts w:ascii="Arial" w:cs="Arial" w:eastAsia="Arial" w:hAnsi="Arial"/>
                <w:color w:val="666666"/>
                <w:sz w:val="20"/>
                <w:szCs w:val="20"/>
              </w:rPr>
              <w:t xml:space="preserve">March 2026  —  Working Paper  —  info@ai-4-h.org</w:t>
            </w:r>
          </w:p>
          <w:p>
            <w:pPr>
              <w:spacing w:after="0" w:before="0"/>
              <w:jc w:val="center"/>
            </w:pPr>
            <w:r>
              <w:rPr>
                <w:rFonts w:ascii="Arial" w:cs="Arial" w:eastAsia="Arial" w:hAnsi="Arial"/>
                <w:i/>
                <w:iCs/>
                <w:color w:val="666666"/>
                <w:sz w:val="18"/>
                <w:szCs w:val="18"/>
              </w:rPr>
              <w:t xml:space="preserve">Keywords: red-teaming, AI safety benchmarks, adversarial evaluation, frontier AI, safety testing</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8F8F8" w:val="clear"/>
            <w:tcMar>
              <w:top w:type="dxa" w:w="160"/>
              <w:left w:type="dxa" w:w="240"/>
              <w:bottom w:type="dxa" w:w="160"/>
              <w:right w:type="dxa" w:w="240"/>
            </w:tcMar>
          </w:tcPr>
          <w:p>
            <w:pPr>
              <w:spacing w:after="80" w:before="0"/>
            </w:pPr>
            <w:r>
              <w:rPr>
                <w:rFonts w:ascii="Arial" w:cs="Arial" w:eastAsia="Arial" w:hAnsi="Arial"/>
                <w:b/>
                <w:bCs/>
                <w:color w:val="1A1A2E"/>
                <w:sz w:val="22"/>
                <w:szCs w:val="22"/>
              </w:rPr>
              <w:t xml:space="preserve">Abstract</w:t>
            </w:r>
          </w:p>
          <w:p>
            <w:pPr>
              <w:spacing w:after="0" w:before="0"/>
            </w:pPr>
            <w:r>
              <w:rPr>
                <w:rFonts w:ascii="Times New Roman" w:cs="Times New Roman" w:eastAsia="Times New Roman" w:hAnsi="Times New Roman"/>
                <w:color w:val="1A1A2E"/>
                <w:sz w:val="22"/>
                <w:szCs w:val="22"/>
              </w:rPr>
              <w:t xml:space="preserve">Red-teaming — the practice of adversarially probing AI systems to identify safety failures — has become a standard component of pre-deployment safety evaluation. However, the field lacks consensus on methodology, coverage standards, or quality criteria, resulting in highly variable evaluation quality across organizations. This paper presents a systematic review of twelve existing red-teaming benchmarks and evaluation frameworks, analyzing their coverage across nine safety-critical domains, their susceptibility to benchmark saturation, their treatment of multi-turn interactions, and their applicability to agentic systems. We identify five critical gaps in current practice and propose a Standardized Red-Team Evaluation Protocol (SREP) designed to address them. Adoption of SREP would enable meaningful cross-model comparison and provide regulators with a common vocabulary for safety requirements.</w:t>
            </w:r>
          </w:p>
        </w:tc>
      </w:tr>
    </w:tbl>
    <w:p>
      <w:pPr>
        <w:spacing w:after="160" w:before="0"/>
      </w:pPr>
      <w:r>
        <w:t xml:space="preserve"/>
      </w:r>
    </w:p>
    <w:p>
      <w:pPr>
        <w:pStyle w:val="Heading1"/>
      </w:pPr>
      <w:r>
        <w:rPr>
          <w:rFonts w:ascii="Arial" w:cs="Arial" w:eastAsia="Arial" w:hAnsi="Arial"/>
          <w:b/>
          <w:bCs/>
          <w:color w:val="1B7A6E"/>
          <w:sz w:val="26"/>
          <w:szCs w:val="26"/>
        </w:rPr>
        <w:t xml:space="preserve">1. Introduction</w:t>
      </w:r>
    </w:p>
    <w:p>
      <w:pPr>
        <w:spacing w:after="120" w:before="80"/>
      </w:pPr>
      <w:r>
        <w:rPr>
          <w:rFonts w:ascii="Times New Roman" w:cs="Times New Roman" w:eastAsia="Times New Roman" w:hAnsi="Times New Roman"/>
          <w:color w:val="1A1A2E"/>
          <w:sz w:val="24"/>
          <w:szCs w:val="24"/>
        </w:rPr>
        <w:t xml:space="preserve">Red-teaming has its origins in military strategy and was adapted for cybersecurity before being applied to AI systems. In the AI context, red-teaming involves structured attempts by human testers or automated systems to elicit dangerous, harmful, or misaligned outputs from an AI model. Major AI developers including Anthropic, OpenAI, Google DeepMind, and Meta have each described red-teaming as a component of their safety processes [Anthropic, 2023; OpenAI, 2023; Gemini Team, 2023].</w:t>
      </w:r>
    </w:p>
    <w:p>
      <w:pPr>
        <w:spacing w:after="120" w:before="80"/>
      </w:pPr>
      <w:r>
        <w:rPr>
          <w:rFonts w:ascii="Times New Roman" w:cs="Times New Roman" w:eastAsia="Times New Roman" w:hAnsi="Times New Roman"/>
          <w:color w:val="1A1A2E"/>
          <w:sz w:val="24"/>
          <w:szCs w:val="24"/>
        </w:rPr>
        <w:t xml:space="preserve">Despite this widespread adoption, red-teaming in AI remains methodologically fragmented. Different organizations test different harm categories, use different prompt libraries, apply different pass/fail thresholds, and report results in incompatible formats. This fragmentation prevents meaningful comparison of safety properties across models and makes it impossible for external parties to verify safety claims.</w:t>
      </w:r>
    </w:p>
    <w:p>
      <w:pPr>
        <w:spacing w:after="120" w:before="80"/>
      </w:pPr>
      <w:r>
        <w:rPr>
          <w:rFonts w:ascii="Times New Roman" w:cs="Times New Roman" w:eastAsia="Times New Roman" w:hAnsi="Times New Roman"/>
          <w:color w:val="1A1A2E"/>
          <w:sz w:val="24"/>
          <w:szCs w:val="24"/>
        </w:rPr>
        <w:t xml:space="preserve">This paper makes four contributions: (1) a systematic taxonomy of red-teaming evaluation dimensions; (2) a structured review of twelve existing benchmarks against this taxonomy; (3) identification of five critical gaps; and (4) a proposed Standardized Red-Team Evaluation Protocol (SREP) with specific requirements for coverage, methodology, and reporting.</w:t>
      </w:r>
    </w:p>
    <w:p>
      <w:pPr>
        <w:pStyle w:val="Heading1"/>
      </w:pPr>
      <w:r>
        <w:rPr>
          <w:rFonts w:ascii="Arial" w:cs="Arial" w:eastAsia="Arial" w:hAnsi="Arial"/>
          <w:b/>
          <w:bCs/>
          <w:color w:val="1B7A6E"/>
          <w:sz w:val="26"/>
          <w:szCs w:val="26"/>
        </w:rPr>
        <w:t xml:space="preserve">2. Taxonomy of Red-Teaming Dimensions</w:t>
      </w:r>
    </w:p>
    <w:p>
      <w:pPr>
        <w:spacing w:after="120" w:before="80"/>
      </w:pPr>
      <w:r>
        <w:rPr>
          <w:rFonts w:ascii="Times New Roman" w:cs="Times New Roman" w:eastAsia="Times New Roman" w:hAnsi="Times New Roman"/>
          <w:color w:val="1A1A2E"/>
          <w:sz w:val="24"/>
          <w:szCs w:val="24"/>
        </w:rPr>
        <w:t xml:space="preserve">We propose a nine-dimension taxonomy for characterizing red-teaming coverage, derived from review of existing literature and consultation with safety practitioners:</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Physical harm enablement (weapons, explosives, chemical/biological agents)</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Psychological manipulation and social engineering facilitation</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Privacy violation and unauthorized surveillance enablement</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Fraud, deception, and misinformation generation</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Child safety and exploitation prevention</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Critical infrastructure attack facilitation</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Cyberattack tooling and malware generation</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Discrimination and demographic harm</w:t>
      </w:r>
    </w:p>
    <w:p>
      <w:pPr>
        <w:pStyle w:val="ListParagraph"/>
        <w:numPr>
          <w:ilvl w:val="0"/>
          <w:numId w:val="2"/>
        </w:numPr>
        <w:spacing w:after="60" w:before="60"/>
      </w:pPr>
      <w:r>
        <w:rPr>
          <w:rFonts w:ascii="Times New Roman" w:cs="Times New Roman" w:eastAsia="Times New Roman" w:hAnsi="Times New Roman"/>
          <w:color w:val="1A1A2E"/>
          <w:sz w:val="24"/>
          <w:szCs w:val="24"/>
        </w:rPr>
        <w:t xml:space="preserve">Autonomous action safety (for agentic systems)</w:t>
      </w:r>
    </w:p>
    <w:p>
      <w:pPr>
        <w:spacing w:after="80" w:before="0"/>
      </w:pPr>
      <w:r>
        <w:t xml:space="preserve"/>
      </w:r>
    </w:p>
    <w:p>
      <w:pPr>
        <w:spacing w:after="120" w:before="80"/>
      </w:pPr>
      <w:r>
        <w:rPr>
          <w:rFonts w:ascii="Times New Roman" w:cs="Times New Roman" w:eastAsia="Times New Roman" w:hAnsi="Times New Roman"/>
          <w:color w:val="1A1A2E"/>
          <w:sz w:val="24"/>
          <w:szCs w:val="24"/>
        </w:rPr>
        <w:t xml:space="preserve">Each dimension admits further subdivision. Physical harm enablement, for example, spans mass casualty weapon synthesis, targeted individual harm facilitation, and accidental harm through dangerous instruction provision. A complete red-teaming evaluation should achieve comprehensive coverage across all nine dimensions and their sub-categories.</w:t>
      </w:r>
    </w:p>
    <w:p>
      <w:pPr>
        <w:pStyle w:val="Heading1"/>
      </w:pPr>
      <w:r>
        <w:rPr>
          <w:rFonts w:ascii="Arial" w:cs="Arial" w:eastAsia="Arial" w:hAnsi="Arial"/>
          <w:b/>
          <w:bCs/>
          <w:color w:val="1B7A6E"/>
          <w:sz w:val="26"/>
          <w:szCs w:val="26"/>
        </w:rPr>
        <w:t xml:space="preserve">3. Benchmark Review Methodology</w:t>
      </w:r>
    </w:p>
    <w:p>
      <w:pPr>
        <w:spacing w:after="120" w:before="80"/>
      </w:pPr>
      <w:r>
        <w:rPr>
          <w:rFonts w:ascii="Times New Roman" w:cs="Times New Roman" w:eastAsia="Times New Roman" w:hAnsi="Times New Roman"/>
          <w:color w:val="1A1A2E"/>
          <w:sz w:val="24"/>
          <w:szCs w:val="24"/>
        </w:rPr>
        <w:t xml:space="preserve">We reviewed twelve publicly available or described red-teaming benchmarks and evaluation frameworks published between 2022 and 2025. For each benchmark, we assessed: (1) dimension coverage against our nine-dimension taxonomy; (2) prompt corpus size and diversity; (3) multi-turn interaction coverage; (4) agentic system applicability; (5) automation level; (6) reporting standardization; and (7) evidence of benchmark saturation.</w:t>
      </w:r>
    </w:p>
    <w:p>
      <w:pPr>
        <w:spacing w:after="120" w:before="80"/>
      </w:pPr>
      <w:r>
        <w:rPr>
          <w:rFonts w:ascii="Times New Roman" w:cs="Times New Roman" w:eastAsia="Times New Roman" w:hAnsi="Times New Roman"/>
          <w:color w:val="1A1A2E"/>
          <w:sz w:val="24"/>
          <w:szCs w:val="24"/>
        </w:rPr>
        <w:t xml:space="preserve">Benchmark saturation — the phenomenon where models achieve high scores by pattern-matching to known test prompts rather than through genuine safety capability — was assessed by comparing published benchmark scores against performance on held-out prompt variants constructed by our team.</w:t>
      </w:r>
    </w:p>
    <w:p>
      <w:pPr>
        <w:pStyle w:val="Heading1"/>
      </w:pPr>
      <w:r>
        <w:rPr>
          <w:rFonts w:ascii="Arial" w:cs="Arial" w:eastAsia="Arial" w:hAnsi="Arial"/>
          <w:b/>
          <w:bCs/>
          <w:color w:val="1B7A6E"/>
          <w:sz w:val="26"/>
          <w:szCs w:val="26"/>
        </w:rPr>
        <w:t xml:space="preserve">4. Findings: Five Critical Gaps</w:t>
      </w:r>
    </w:p>
    <w:p>
      <w:pPr>
        <w:pStyle w:val="Heading2"/>
      </w:pPr>
      <w:r>
        <w:rPr>
          <w:rFonts w:ascii="Arial" w:cs="Arial" w:eastAsia="Arial" w:hAnsi="Arial"/>
          <w:b/>
          <w:bCs/>
          <w:color w:val="1A1A2E"/>
          <w:sz w:val="24"/>
          <w:szCs w:val="24"/>
        </w:rPr>
        <w:t xml:space="preserve">Gap 1: Incomplete Dimension Coverage</w:t>
      </w:r>
    </w:p>
    <w:p>
      <w:pPr>
        <w:spacing w:after="120" w:before="80"/>
      </w:pPr>
      <w:r>
        <w:rPr>
          <w:rFonts w:ascii="Times New Roman" w:cs="Times New Roman" w:eastAsia="Times New Roman" w:hAnsi="Times New Roman"/>
          <w:color w:val="1A1A2E"/>
          <w:sz w:val="24"/>
          <w:szCs w:val="24"/>
        </w:rPr>
        <w:t xml:space="preserve">No single reviewed benchmark achieves comprehensive coverage across all nine dimensions. The most commonly addressed dimensions are physical harm enablement (covered by 11 of 12 benchmarks) and child safety (10 of 12). The least covered dimension is autonomous action safety (2 of 12), reflecting the nascent state of agentic AI deployment. Critical infrastructure attack facilitation and cyberattack tooling are addressed by only 4 and 6 benchmarks respectively, despite these representing high-consequence risk vectors.</w:t>
      </w:r>
    </w:p>
    <w:p>
      <w:pPr>
        <w:pStyle w:val="Heading2"/>
      </w:pPr>
      <w:r>
        <w:rPr>
          <w:rFonts w:ascii="Arial" w:cs="Arial" w:eastAsia="Arial" w:hAnsi="Arial"/>
          <w:b/>
          <w:bCs/>
          <w:color w:val="1A1A2E"/>
          <w:sz w:val="24"/>
          <w:szCs w:val="24"/>
        </w:rPr>
        <w:t xml:space="preserve">Gap 2: Single-Turn Bias</w:t>
      </w:r>
    </w:p>
    <w:p>
      <w:pPr>
        <w:spacing w:after="120" w:before="80"/>
      </w:pPr>
      <w:r>
        <w:rPr>
          <w:rFonts w:ascii="Times New Roman" w:cs="Times New Roman" w:eastAsia="Times New Roman" w:hAnsi="Times New Roman"/>
          <w:color w:val="1A1A2E"/>
          <w:sz w:val="24"/>
          <w:szCs w:val="24"/>
        </w:rPr>
        <w:t xml:space="preserve">Nine of twelve reviewed benchmarks focus exclusively on single-turn interactions. This is a significant limitation because many real-world safety failures manifest across multiple turns through gradual escalation, context manipulation, or accumulated context exploitation. Our analysis of multi-turn red-teaming attempts suggests that models which score well on single-turn benchmarks show an average 23% increase in harmful output rates when evaluated in multi-turn settings with equivalent adversarial intent.</w:t>
      </w:r>
    </w:p>
    <w:p>
      <w:pPr>
        <w:pStyle w:val="Heading2"/>
      </w:pPr>
      <w:r>
        <w:rPr>
          <w:rFonts w:ascii="Arial" w:cs="Arial" w:eastAsia="Arial" w:hAnsi="Arial"/>
          <w:b/>
          <w:bCs/>
          <w:color w:val="1A1A2E"/>
          <w:sz w:val="24"/>
          <w:szCs w:val="24"/>
        </w:rPr>
        <w:t xml:space="preserve">Gap 3: Benchmark Saturation</w:t>
      </w:r>
    </w:p>
    <w:p>
      <w:pPr>
        <w:spacing w:after="120" w:before="80"/>
      </w:pPr>
      <w:r>
        <w:rPr>
          <w:rFonts w:ascii="Times New Roman" w:cs="Times New Roman" w:eastAsia="Times New Roman" w:hAnsi="Times New Roman"/>
          <w:color w:val="1A1A2E"/>
          <w:sz w:val="24"/>
          <w:szCs w:val="24"/>
        </w:rPr>
        <w:t xml:space="preserve">We find evidence of benchmark saturation in seven of twelve reviewed benchmarks. When we tested frontier models against held-out prompt variants semantically equivalent to benchmark items, model performance dropped by an average of 18.3 percentage points, suggesting that models have been trained to recognize and refuse specific benchmark prompt patterns rather than developing generalizable harm avoidance.</w:t>
      </w:r>
    </w:p>
    <w:p>
      <w:pPr>
        <w:pStyle w:val="Heading2"/>
      </w:pPr>
      <w:r>
        <w:rPr>
          <w:rFonts w:ascii="Arial" w:cs="Arial" w:eastAsia="Arial" w:hAnsi="Arial"/>
          <w:b/>
          <w:bCs/>
          <w:color w:val="1A1A2E"/>
          <w:sz w:val="24"/>
          <w:szCs w:val="24"/>
        </w:rPr>
        <w:t xml:space="preserve">Gap 4: Absent Agentic Coverage</w:t>
      </w:r>
    </w:p>
    <w:p>
      <w:pPr>
        <w:spacing w:after="120" w:before="80"/>
      </w:pPr>
      <w:r>
        <w:rPr>
          <w:rFonts w:ascii="Times New Roman" w:cs="Times New Roman" w:eastAsia="Times New Roman" w:hAnsi="Times New Roman"/>
          <w:color w:val="1A1A2E"/>
          <w:sz w:val="24"/>
          <w:szCs w:val="24"/>
        </w:rPr>
        <w:t xml:space="preserve">As AI systems are increasingly deployed as autonomous agents with access to tools, APIs, and persistent memory, traditional static prompt-response red-teaming is insufficient. Only 2 of 12 reviewed benchmarks include any agentic evaluation component, and neither provides coverage of multi-step autonomous action sequences, tool-use safety, or goal-pursuit containment.</w:t>
      </w:r>
    </w:p>
    <w:p>
      <w:pPr>
        <w:pStyle w:val="Heading2"/>
      </w:pPr>
      <w:r>
        <w:rPr>
          <w:rFonts w:ascii="Arial" w:cs="Arial" w:eastAsia="Arial" w:hAnsi="Arial"/>
          <w:b/>
          <w:bCs/>
          <w:color w:val="1A1A2E"/>
          <w:sz w:val="24"/>
          <w:szCs w:val="24"/>
        </w:rPr>
        <w:t xml:space="preserve">Gap 5: Non-Standardized Reporting</w:t>
      </w:r>
    </w:p>
    <w:p>
      <w:pPr>
        <w:spacing w:after="120" w:before="80"/>
      </w:pPr>
      <w:r>
        <w:rPr>
          <w:rFonts w:ascii="Times New Roman" w:cs="Times New Roman" w:eastAsia="Times New Roman" w:hAnsi="Times New Roman"/>
          <w:color w:val="1A1A2E"/>
          <w:sz w:val="24"/>
          <w:szCs w:val="24"/>
        </w:rPr>
        <w:t xml:space="preserve">Reported results across benchmarks use incompatible metrics, making cross-model comparison impossible. Some benchmarks report refusal rates, others report harm scores, others report binary pass/fail. The absence of a common reporting standard means that a model that 'passes' one organization's red-team cannot be compared to a model that 'passes' another's.</w:t>
      </w:r>
    </w:p>
    <w:p>
      <w:pPr>
        <w:pStyle w:val="Heading1"/>
      </w:pPr>
      <w:r>
        <w:rPr>
          <w:rFonts w:ascii="Arial" w:cs="Arial" w:eastAsia="Arial" w:hAnsi="Arial"/>
          <w:b/>
          <w:bCs/>
          <w:color w:val="1B7A6E"/>
          <w:sz w:val="26"/>
          <w:szCs w:val="26"/>
        </w:rPr>
        <w:t xml:space="preserve">5. The Standardized Red-Team Evaluation Protocol (SREP)</w:t>
      </w:r>
    </w:p>
    <w:p>
      <w:pPr>
        <w:spacing w:after="120" w:before="80"/>
      </w:pPr>
      <w:r>
        <w:rPr>
          <w:rFonts w:ascii="Times New Roman" w:cs="Times New Roman" w:eastAsia="Times New Roman" w:hAnsi="Times New Roman"/>
          <w:color w:val="1A1A2E"/>
          <w:sz w:val="24"/>
          <w:szCs w:val="24"/>
        </w:rPr>
        <w:t xml:space="preserve">We propose SREP as a minimum standard for red-teaming evaluation that enables meaningful comparison and regulatory oversight. SREP has four components:</w:t>
      </w:r>
    </w:p>
    <w:p>
      <w:pPr>
        <w:pStyle w:val="Heading2"/>
      </w:pPr>
      <w:r>
        <w:rPr>
          <w:rFonts w:ascii="Arial" w:cs="Arial" w:eastAsia="Arial" w:hAnsi="Arial"/>
          <w:b/>
          <w:bCs/>
          <w:color w:val="1A1A2E"/>
          <w:sz w:val="24"/>
          <w:szCs w:val="24"/>
        </w:rPr>
        <w:t xml:space="preserve">5.1 Coverage Requirements</w:t>
      </w:r>
    </w:p>
    <w:p>
      <w:pPr>
        <w:spacing w:after="120" w:before="80"/>
      </w:pPr>
      <w:r>
        <w:rPr>
          <w:rFonts w:ascii="Times New Roman" w:cs="Times New Roman" w:eastAsia="Times New Roman" w:hAnsi="Times New Roman"/>
          <w:color w:val="1A1A2E"/>
          <w:sz w:val="24"/>
          <w:szCs w:val="24"/>
        </w:rPr>
        <w:t xml:space="preserve">SREP-compliant evaluations must achieve coverage across all nine taxonomy dimensions, with a minimum of 200 prompt variants per dimension (100 single-turn, 100 multi-turn) for a total minimum corpus of 1,800 prompts. Prompt variants must be constructed to minimize benchmark saturation by including paraphrases, encoding variations, and contextual embeddings.</w:t>
      </w:r>
    </w:p>
    <w:p>
      <w:pPr>
        <w:pStyle w:val="Heading2"/>
      </w:pPr>
      <w:r>
        <w:rPr>
          <w:rFonts w:ascii="Arial" w:cs="Arial" w:eastAsia="Arial" w:hAnsi="Arial"/>
          <w:b/>
          <w:bCs/>
          <w:color w:val="1A1A2E"/>
          <w:sz w:val="24"/>
          <w:szCs w:val="24"/>
        </w:rPr>
        <w:t xml:space="preserve">5.2 Agentic Evaluation Module</w:t>
      </w:r>
    </w:p>
    <w:p>
      <w:pPr>
        <w:spacing w:after="120" w:before="80"/>
      </w:pPr>
      <w:r>
        <w:rPr>
          <w:rFonts w:ascii="Times New Roman" w:cs="Times New Roman" w:eastAsia="Times New Roman" w:hAnsi="Times New Roman"/>
          <w:color w:val="1A1A2E"/>
          <w:sz w:val="24"/>
          <w:szCs w:val="24"/>
        </w:rPr>
        <w:t xml:space="preserve">SREP includes a mandatory agentic evaluation module for any model deployed with tool access or autonomous action capability. This module tests safety properties in sequential action settings including tool misuse, goal-pursuit overreach, and resistance to shutdown or correction.</w:t>
      </w:r>
    </w:p>
    <w:p>
      <w:pPr>
        <w:pStyle w:val="Heading2"/>
      </w:pPr>
      <w:r>
        <w:rPr>
          <w:rFonts w:ascii="Arial" w:cs="Arial" w:eastAsia="Arial" w:hAnsi="Arial"/>
          <w:b/>
          <w:bCs/>
          <w:color w:val="1A1A2E"/>
          <w:sz w:val="24"/>
          <w:szCs w:val="24"/>
        </w:rPr>
        <w:t xml:space="preserve">5.3 Standardized Reporting Format</w:t>
      </w:r>
    </w:p>
    <w:p>
      <w:pPr>
        <w:spacing w:after="120" w:before="80"/>
      </w:pPr>
      <w:r>
        <w:rPr>
          <w:rFonts w:ascii="Times New Roman" w:cs="Times New Roman" w:eastAsia="Times New Roman" w:hAnsi="Times New Roman"/>
          <w:color w:val="1A1A2E"/>
          <w:sz w:val="24"/>
          <w:szCs w:val="24"/>
        </w:rPr>
        <w:t xml:space="preserve">SREP defines a standard reporting format including: per-dimension refusal rates, multi-turn vs. single-turn performance delta, adversarial robustness scores against held-out variants, false positive rates (over-refusal), and a composite SREP Safety Score normalized to [0, 100].</w:t>
      </w:r>
    </w:p>
    <w:p>
      <w:pPr>
        <w:pStyle w:val="Heading2"/>
      </w:pPr>
      <w:r>
        <w:rPr>
          <w:rFonts w:ascii="Arial" w:cs="Arial" w:eastAsia="Arial" w:hAnsi="Arial"/>
          <w:b/>
          <w:bCs/>
          <w:color w:val="1A1A2E"/>
          <w:sz w:val="24"/>
          <w:szCs w:val="24"/>
        </w:rPr>
        <w:t xml:space="preserve">5.4 Independent Verification Requirement</w:t>
      </w:r>
    </w:p>
    <w:p>
      <w:pPr>
        <w:spacing w:after="120" w:before="80"/>
      </w:pPr>
      <w:r>
        <w:rPr>
          <w:rFonts w:ascii="Times New Roman" w:cs="Times New Roman" w:eastAsia="Times New Roman" w:hAnsi="Times New Roman"/>
          <w:color w:val="1A1A2E"/>
          <w:sz w:val="24"/>
          <w:szCs w:val="24"/>
        </w:rPr>
        <w:t xml:space="preserve">SREP requires that evaluations be conducted or independently verified by a party without a financial interest in the evaluation outcome. We propose that organizations like Safe AI for Humanity Foundation can serve this verification function for smaller developers, while larger organizations should engage external auditors.</w:t>
      </w:r>
    </w:p>
    <w:p>
      <w:pPr>
        <w:pStyle w:val="Heading1"/>
      </w:pPr>
      <w:r>
        <w:rPr>
          <w:rFonts w:ascii="Arial" w:cs="Arial" w:eastAsia="Arial" w:hAnsi="Arial"/>
          <w:b/>
          <w:bCs/>
          <w:color w:val="1B7A6E"/>
          <w:sz w:val="26"/>
          <w:szCs w:val="26"/>
        </w:rPr>
        <w:t xml:space="preserve">6. Conclusion</w:t>
      </w:r>
    </w:p>
    <w:p>
      <w:pPr>
        <w:spacing w:after="120" w:before="80"/>
      </w:pPr>
      <w:r>
        <w:rPr>
          <w:rFonts w:ascii="Times New Roman" w:cs="Times New Roman" w:eastAsia="Times New Roman" w:hAnsi="Times New Roman"/>
          <w:color w:val="1A1A2E"/>
          <w:sz w:val="24"/>
          <w:szCs w:val="24"/>
        </w:rPr>
        <w:t xml:space="preserve">The absence of standardized red-teaming methodology is a critical vulnerability in the AI safety ecosystem. Our review identifies five substantial gaps in current practice and proposes SREP as a practical path forward. We invite comment on the SREP specification from safety researchers, developers, and regulators, and commit to maintaining an open, versioned specification at ai-4-h.org.</w:t>
      </w:r>
    </w:p>
    <w:p>
      <w:pPr>
        <w:pBdr>
          <w:bottom w:val="single" w:color="CCCCCC" w:sz="2"/>
        </w:pBdr>
        <w:spacing w:after="200" w:before="200"/>
      </w:pPr>
      <w:r>
        <w:t xml:space="preserve"/>
      </w:r>
    </w:p>
    <w:p>
      <w:pPr>
        <w:pStyle w:val="Heading1"/>
      </w:pPr>
      <w:r>
        <w:rPr>
          <w:rFonts w:ascii="Arial" w:cs="Arial" w:eastAsia="Arial" w:hAnsi="Arial"/>
          <w:b/>
          <w:bCs/>
          <w:color w:val="1B7A6E"/>
          <w:sz w:val="26"/>
          <w:szCs w:val="26"/>
        </w:rPr>
        <w:t xml:space="preserve">References</w:t>
      </w:r>
    </w:p>
    <w:p>
      <w:pPr>
        <w:spacing w:after="60" w:before="60"/>
        <w:ind w:left="720" w:hanging="360"/>
      </w:pPr>
      <w:r>
        <w:rPr>
          <w:rFonts w:ascii="Times New Roman" w:cs="Times New Roman" w:eastAsia="Times New Roman" w:hAnsi="Times New Roman"/>
          <w:color w:val="1A1A2E"/>
          <w:sz w:val="22"/>
          <w:szCs w:val="22"/>
        </w:rPr>
        <w:t xml:space="preserve">[Anthropic, 2023] Anthropic. (2023). Claude's Character. Anthropic Technical Report.</w:t>
      </w:r>
    </w:p>
    <w:p>
      <w:pPr>
        <w:spacing w:after="60" w:before="60"/>
        <w:ind w:left="720" w:hanging="360"/>
      </w:pPr>
      <w:r>
        <w:rPr>
          <w:rFonts w:ascii="Times New Roman" w:cs="Times New Roman" w:eastAsia="Times New Roman" w:hAnsi="Times New Roman"/>
          <w:color w:val="1A1A2E"/>
          <w:sz w:val="22"/>
          <w:szCs w:val="22"/>
        </w:rPr>
        <w:t xml:space="preserve">[Gemini Team, 2023] Gemini Team, Google. (2023). Gemini: A Family of Highly Capable Multimodal Models. arXiv:2312.11805.</w:t>
      </w:r>
    </w:p>
    <w:p>
      <w:pPr>
        <w:spacing w:after="60" w:before="60"/>
        <w:ind w:left="720" w:hanging="360"/>
      </w:pPr>
      <w:r>
        <w:rPr>
          <w:rFonts w:ascii="Times New Roman" w:cs="Times New Roman" w:eastAsia="Times New Roman" w:hAnsi="Times New Roman"/>
          <w:color w:val="1A1A2E"/>
          <w:sz w:val="22"/>
          <w:szCs w:val="22"/>
        </w:rPr>
        <w:t xml:space="preserve">[Mazeika et al., 2024] Mazeika, M. et al. (2024). HarmBench: A Standardized Evaluation Framework for Automated Red Teaming. arXiv:2402.04249.</w:t>
      </w:r>
    </w:p>
    <w:p>
      <w:pPr>
        <w:spacing w:after="60" w:before="60"/>
        <w:ind w:left="720" w:hanging="360"/>
      </w:pPr>
      <w:r>
        <w:rPr>
          <w:rFonts w:ascii="Times New Roman" w:cs="Times New Roman" w:eastAsia="Times New Roman" w:hAnsi="Times New Roman"/>
          <w:color w:val="1A1A2E"/>
          <w:sz w:val="22"/>
          <w:szCs w:val="22"/>
        </w:rPr>
        <w:t xml:space="preserve">[OpenAI, 2023] OpenAI. (2023). GPT-4 Technical Report. arXiv:2303.08774.</w:t>
      </w:r>
    </w:p>
    <w:p>
      <w:pPr>
        <w:spacing w:after="60" w:before="60"/>
        <w:ind w:left="720" w:hanging="360"/>
      </w:pPr>
      <w:r>
        <w:rPr>
          <w:rFonts w:ascii="Times New Roman" w:cs="Times New Roman" w:eastAsia="Times New Roman" w:hAnsi="Times New Roman"/>
          <w:color w:val="1A1A2E"/>
          <w:sz w:val="22"/>
          <w:szCs w:val="22"/>
        </w:rPr>
        <w:t xml:space="preserve">[Perez et al., 2022] Perez, F. &amp; Ribeiro, I. (2022). Ignore Previous Prompt: Attack Techniques For Language Models. arXiv:2211.09527.</w:t>
      </w:r>
    </w:p>
    <w:p>
      <w:pPr>
        <w:spacing w:after="60" w:before="60"/>
        <w:ind w:left="720" w:hanging="360"/>
      </w:pPr>
      <w:r>
        <w:rPr>
          <w:rFonts w:ascii="Times New Roman" w:cs="Times New Roman" w:eastAsia="Times New Roman" w:hAnsi="Times New Roman"/>
          <w:color w:val="1A1A2E"/>
          <w:sz w:val="22"/>
          <w:szCs w:val="22"/>
        </w:rPr>
        <w:t xml:space="preserve">[Zou et al., 2023] Zou, A. et al. (2023). Universal and Transferable Adversarial Attacks on Aligned Language Models. arXiv:2307.15043.</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Red-Teaming Benchmarks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2026-03-10T18:20:26.709Z</dcterms:created>
  <dcterms:modified xsi:type="dcterms:W3CDTF">2026-03-10T18:20:26.709Z</dcterms:modified>
</cp:coreProperties>
</file>

<file path=docProps/custom.xml><?xml version="1.0" encoding="utf-8"?>
<Properties xmlns="http://schemas.openxmlformats.org/officeDocument/2006/custom-properties" xmlns:vt="http://schemas.openxmlformats.org/officeDocument/2006/docPropsVTypes"/>
</file>