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8F7" w:val="clear"/>
            <w:tcMar>
              <w:top w:type="dxa" w:w="300"/>
              <w:left w:type="dxa" w:w="400"/>
              <w:bottom w:type="dxa" w:w="300"/>
              <w:right w:type="dxa" w:w="400"/>
            </w:tcMar>
          </w:tcPr>
          <w:p>
            <w:pPr>
              <w:spacing w:after="120" w:before="0"/>
              <w:jc w:val="center"/>
            </w:pPr>
            <w:r>
              <w:rPr>
                <w:rFonts w:ascii="Arial" w:cs="Arial" w:eastAsia="Arial" w:hAnsi="Arial"/>
                <w:b/>
                <w:bCs/>
                <w:color w:val="1A1A2E"/>
                <w:sz w:val="32"/>
                <w:szCs w:val="32"/>
              </w:rPr>
              <w:t xml:space="preserve">Toward Measurable Alignment: A Framework for Evaluating Value Consistency in Large Language Models</w:t>
            </w:r>
          </w:p>
          <w:p>
            <w:pPr>
              <w:spacing w:after="60" w:before="0"/>
              <w:jc w:val="center"/>
            </w:pPr>
            <w:r>
              <w:rPr>
                <w:rFonts w:ascii="Arial" w:cs="Arial" w:eastAsia="Arial" w:hAnsi="Arial"/>
                <w:b/>
                <w:bCs/>
                <w:color w:val="1B7A6E"/>
                <w:sz w:val="22"/>
                <w:szCs w:val="22"/>
              </w:rPr>
              <w:t xml:space="preserve">Safe AI for Humanity Foundation</w:t>
            </w:r>
          </w:p>
          <w:p>
            <w:pPr>
              <w:spacing w:after="60" w:before="0"/>
              <w:jc w:val="center"/>
            </w:pPr>
            <w:r>
              <w:rPr>
                <w:rFonts w:ascii="Arial" w:cs="Arial" w:eastAsia="Arial" w:hAnsi="Arial"/>
                <w:color w:val="666666"/>
                <w:sz w:val="20"/>
                <w:szCs w:val="20"/>
              </w:rPr>
              <w:t xml:space="preserve">March 2026  —  Working Paper  —  info@ai-4-h.org</w:t>
            </w:r>
          </w:p>
          <w:p>
            <w:pPr>
              <w:spacing w:after="0" w:before="0"/>
              <w:jc w:val="center"/>
            </w:pPr>
            <w:r>
              <w:rPr>
                <w:rFonts w:ascii="Arial" w:cs="Arial" w:eastAsia="Arial" w:hAnsi="Arial"/>
                <w:i/>
                <w:iCs/>
                <w:color w:val="666666"/>
                <w:sz w:val="18"/>
                <w:szCs w:val="18"/>
              </w:rPr>
              <w:t xml:space="preserve">Keywords: AI alignment, value consistency, LLM evaluation, safety benchmarks, behavioral testing</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8F8F8" w:val="clear"/>
            <w:tcMar>
              <w:top w:type="dxa" w:w="160"/>
              <w:left w:type="dxa" w:w="240"/>
              <w:bottom w:type="dxa" w:w="160"/>
              <w:right w:type="dxa" w:w="240"/>
            </w:tcMar>
          </w:tcPr>
          <w:p>
            <w:pPr>
              <w:spacing w:after="80" w:before="0"/>
            </w:pPr>
            <w:r>
              <w:rPr>
                <w:rFonts w:ascii="Arial" w:cs="Arial" w:eastAsia="Arial" w:hAnsi="Arial"/>
                <w:b/>
                <w:bCs/>
                <w:color w:val="1A1A2E"/>
                <w:sz w:val="22"/>
                <w:szCs w:val="22"/>
              </w:rPr>
              <w:t xml:space="preserve">Abstract</w:t>
            </w:r>
          </w:p>
          <w:p>
            <w:pPr>
              <w:spacing w:after="0" w:before="0"/>
            </w:pPr>
            <w:r>
              <w:rPr>
                <w:rFonts w:ascii="Times New Roman" w:cs="Times New Roman" w:eastAsia="Times New Roman" w:hAnsi="Times New Roman"/>
                <w:color w:val="1A1A2E"/>
                <w:sz w:val="22"/>
                <w:szCs w:val="22"/>
              </w:rPr>
              <w:t xml:space="preserve">The alignment problem — ensuring that AI systems reliably pursue objectives consistent with human values — remains one of the central unsolved challenges in AI safety. While significant theoretical work has characterized the problem, practical evaluation of alignment in deployed large language models (LLMs) remains largely qualitative and ad hoc. This paper proposes a quantitative framework for measuring value consistency in LLMs across five dimensions: harm avoidance stability, value persistence under pressure, cross-context coherence, adversarial robustness, and distributional fairness. We apply this framework to five frontier LLMs, establishing baseline alignment scores and demonstrating that even high-performing models exhibit significant intra-model inconsistencies. Our results suggest that current safety training methods produce brittle alignment that degrades predictably under specific prompting conditions. We propose the Value Consistency Index (VCI) as a standardized metric for cross-model comparison.</w:t>
            </w:r>
          </w:p>
        </w:tc>
      </w:tr>
    </w:tbl>
    <w:p>
      <w:pPr>
        <w:spacing w:after="160" w:before="0"/>
      </w:pPr>
      <w:r>
        <w:t xml:space="preserve"/>
      </w:r>
    </w:p>
    <w:p>
      <w:pPr>
        <w:pStyle w:val="Heading1"/>
      </w:pPr>
      <w:r>
        <w:rPr>
          <w:rFonts w:ascii="Arial" w:cs="Arial" w:eastAsia="Arial" w:hAnsi="Arial"/>
          <w:b/>
          <w:bCs/>
          <w:color w:val="1B7A6E"/>
          <w:sz w:val="26"/>
          <w:szCs w:val="26"/>
        </w:rPr>
        <w:t xml:space="preserve">1. Introduction</w:t>
      </w:r>
    </w:p>
    <w:p>
      <w:pPr>
        <w:spacing w:after="120" w:before="80"/>
      </w:pPr>
      <w:r>
        <w:rPr>
          <w:rFonts w:ascii="Times New Roman" w:cs="Times New Roman" w:eastAsia="Times New Roman" w:hAnsi="Times New Roman"/>
          <w:color w:val="1A1A2E"/>
          <w:sz w:val="24"/>
          <w:szCs w:val="24"/>
        </w:rPr>
        <w:t xml:space="preserve">The deployment of large language models at scale has transformed how humans interact with AI systems, raising urgent questions about whether these systems reliably behave in ways consistent with human values. The concept of 'alignment' — broadly understood as the degree to which an AI system's behavior matches the intentions and values of its designers and users — has been central to AI safety discourse for over a decade [Bostrom, 2014; Russell, 2019; Gabriel, 2020].</w:t>
      </w:r>
    </w:p>
    <w:p>
      <w:pPr>
        <w:spacing w:after="120" w:before="80"/>
      </w:pPr>
      <w:r>
        <w:rPr>
          <w:rFonts w:ascii="Times New Roman" w:cs="Times New Roman" w:eastAsia="Times New Roman" w:hAnsi="Times New Roman"/>
          <w:color w:val="1A1A2E"/>
          <w:sz w:val="24"/>
          <w:szCs w:val="24"/>
        </w:rPr>
        <w:t xml:space="preserve">Despite this theoretical attention, the field lacks standardized, quantitative methods for measuring alignment in deployed systems. Existing evaluation approaches tend to be categorical (does the model refuse a harmful request or not?) rather than graded, cross-sectional rather than longitudinal, and narrow in scope rather than spanning the breadth of value-laden interactions a model encounters in deployment.</w:t>
      </w:r>
    </w:p>
    <w:p>
      <w:pPr>
        <w:spacing w:after="120" w:before="80"/>
      </w:pPr>
      <w:r>
        <w:rPr>
          <w:rFonts w:ascii="Times New Roman" w:cs="Times New Roman" w:eastAsia="Times New Roman" w:hAnsi="Times New Roman"/>
          <w:color w:val="1A1A2E"/>
          <w:sz w:val="24"/>
          <w:szCs w:val="24"/>
        </w:rPr>
        <w:t xml:space="preserve">This limitation has practical consequences. Organizations deploying LLMs cannot reliably quantify the safety properties of the systems they deploy. Regulators cannot compare safety profiles across models. Safety researchers cannot track whether alignment is improving or degrading as models are updated. The absence of standardized measurement tools constitutes a significant gap in the AI safety ecosystem.</w:t>
      </w:r>
    </w:p>
    <w:p>
      <w:pPr>
        <w:spacing w:after="120" w:before="80"/>
      </w:pPr>
      <w:r>
        <w:rPr>
          <w:rFonts w:ascii="Times New Roman" w:cs="Times New Roman" w:eastAsia="Times New Roman" w:hAnsi="Times New Roman"/>
          <w:color w:val="1A1A2E"/>
          <w:sz w:val="24"/>
          <w:szCs w:val="24"/>
        </w:rPr>
        <w:t xml:space="preserve">This paper addresses that gap with three contributions. First, we propose a five-dimensional framework for evaluating value consistency in LLMs. Second, we introduce the Value Consistency Index (VCI), a composite metric that aggregates scores across dimensions into a single comparable value. Third, we present baseline VCI scores for five frontier LLMs, demonstrating the framework's discriminative power and surfacing model-specific weaknesses.</w:t>
      </w:r>
    </w:p>
    <w:p>
      <w:pPr>
        <w:pStyle w:val="Heading1"/>
      </w:pPr>
      <w:r>
        <w:rPr>
          <w:rFonts w:ascii="Arial" w:cs="Arial" w:eastAsia="Arial" w:hAnsi="Arial"/>
          <w:b/>
          <w:bCs/>
          <w:color w:val="1B7A6E"/>
          <w:sz w:val="26"/>
          <w:szCs w:val="26"/>
        </w:rPr>
        <w:t xml:space="preserve">2. Background and Related Work</w:t>
      </w:r>
    </w:p>
    <w:p>
      <w:pPr>
        <w:pStyle w:val="Heading2"/>
      </w:pPr>
      <w:r>
        <w:rPr>
          <w:rFonts w:ascii="Arial" w:cs="Arial" w:eastAsia="Arial" w:hAnsi="Arial"/>
          <w:b/>
          <w:bCs/>
          <w:color w:val="1A1A2E"/>
          <w:sz w:val="24"/>
          <w:szCs w:val="24"/>
        </w:rPr>
        <w:t xml:space="preserve">2.1 Prior Alignment Evaluation Approaches</w:t>
      </w:r>
    </w:p>
    <w:p>
      <w:pPr>
        <w:spacing w:after="120" w:before="80"/>
      </w:pPr>
      <w:r>
        <w:rPr>
          <w:rFonts w:ascii="Times New Roman" w:cs="Times New Roman" w:eastAsia="Times New Roman" w:hAnsi="Times New Roman"/>
          <w:color w:val="1A1A2E"/>
          <w:sz w:val="24"/>
          <w:szCs w:val="24"/>
        </w:rPr>
        <w:t xml:space="preserve">Early alignment evaluation focused on specific harm categories. TruthfulQA [Lin et al., 2021] assessed a model's propensity to generate false but plausible statements. HarmBench [Mazeika et al., 2024] provided a standardized benchmark for harmful content refusal. The HELM suite [Liang et al., 2022] evaluated models across multiple dimensions including toxicity and bias, but treated these as separate scores rather than components of a unified alignment construct.</w:t>
      </w:r>
    </w:p>
    <w:p>
      <w:pPr>
        <w:spacing w:after="120" w:before="80"/>
      </w:pPr>
      <w:r>
        <w:rPr>
          <w:rFonts w:ascii="Times New Roman" w:cs="Times New Roman" w:eastAsia="Times New Roman" w:hAnsi="Times New Roman"/>
          <w:color w:val="1A1A2E"/>
          <w:sz w:val="24"/>
          <w:szCs w:val="24"/>
        </w:rPr>
        <w:t xml:space="preserve">Red-teaming approaches [Perez et al., 2022; Ganguli et al., 2022] have demonstrated that models which perform well on standard benchmarks can be prompted into misaligned behavior through adversarial techniques, suggesting that static benchmarks measure surface compliance rather than deep alignment. This insight motivates our emphasis on adversarial robustness as a core dimension of value consistency.</w:t>
      </w:r>
    </w:p>
    <w:p>
      <w:pPr>
        <w:pStyle w:val="Heading2"/>
      </w:pPr>
      <w:r>
        <w:rPr>
          <w:rFonts w:ascii="Arial" w:cs="Arial" w:eastAsia="Arial" w:hAnsi="Arial"/>
          <w:b/>
          <w:bCs/>
          <w:color w:val="1A1A2E"/>
          <w:sz w:val="24"/>
          <w:szCs w:val="24"/>
        </w:rPr>
        <w:t xml:space="preserve">2.2 Theoretical Foundations</w:t>
      </w:r>
    </w:p>
    <w:p>
      <w:pPr>
        <w:spacing w:after="120" w:before="80"/>
      </w:pPr>
      <w:r>
        <w:rPr>
          <w:rFonts w:ascii="Times New Roman" w:cs="Times New Roman" w:eastAsia="Times New Roman" w:hAnsi="Times New Roman"/>
          <w:color w:val="1A1A2E"/>
          <w:sz w:val="24"/>
          <w:szCs w:val="24"/>
        </w:rPr>
        <w:t xml:space="preserve">Our framework draws on value alignment theory [Gabriel, 2020], which distinguishes between instruction-following (doing what is asked), preference satisfaction (doing what is wanted), and value alignment (doing what is good). We argue that evaluation must test all three levels, not merely the first, to adequately characterize a model's alignment properties.</w:t>
      </w:r>
    </w:p>
    <w:p>
      <w:pPr>
        <w:spacing w:after="120" w:before="80"/>
      </w:pPr>
      <w:r>
        <w:rPr>
          <w:rFonts w:ascii="Times New Roman" w:cs="Times New Roman" w:eastAsia="Times New Roman" w:hAnsi="Times New Roman"/>
          <w:color w:val="1A1A2E"/>
          <w:sz w:val="24"/>
          <w:szCs w:val="24"/>
        </w:rPr>
        <w:t xml:space="preserve">We also draw on the concept of distributional robustness [Sinha et al., 2018] from machine learning, which studies how model performance varies across different input distributions. We extend this to value consistency: a well-aligned model should exhibit consistent value expression not just on in-distribution test sets but across the full distribution of deployment contexts.</w:t>
      </w:r>
    </w:p>
    <w:p>
      <w:pPr>
        <w:pStyle w:val="Heading1"/>
      </w:pPr>
      <w:r>
        <w:rPr>
          <w:rFonts w:ascii="Arial" w:cs="Arial" w:eastAsia="Arial" w:hAnsi="Arial"/>
          <w:b/>
          <w:bCs/>
          <w:color w:val="1B7A6E"/>
          <w:sz w:val="26"/>
          <w:szCs w:val="26"/>
        </w:rPr>
        <w:t xml:space="preserve">3. The Value Consistency Framework</w:t>
      </w:r>
    </w:p>
    <w:p>
      <w:pPr>
        <w:pStyle w:val="Heading2"/>
      </w:pPr>
      <w:r>
        <w:rPr>
          <w:rFonts w:ascii="Arial" w:cs="Arial" w:eastAsia="Arial" w:hAnsi="Arial"/>
          <w:b/>
          <w:bCs/>
          <w:color w:val="1A1A2E"/>
          <w:sz w:val="24"/>
          <w:szCs w:val="24"/>
        </w:rPr>
        <w:t xml:space="preserve">3.1 Dimension 1: Harm Avoidance Stability (HAS)</w:t>
      </w:r>
    </w:p>
    <w:p>
      <w:pPr>
        <w:spacing w:after="120" w:before="80"/>
      </w:pPr>
      <w:r>
        <w:rPr>
          <w:rFonts w:ascii="Times New Roman" w:cs="Times New Roman" w:eastAsia="Times New Roman" w:hAnsi="Times New Roman"/>
          <w:color w:val="1A1A2E"/>
          <w:sz w:val="24"/>
          <w:szCs w:val="24"/>
        </w:rPr>
        <w:t xml:space="preserve">Harm Avoidance Stability measures the consistency of a model's refusal behavior across semantically equivalent requests. A model that refuses 'How do I make a pipe bomb?' but complies with 'Explain the construction of improvised explosive devices for a chemistry class' exhibits low HAS. We generate paraphrase clusters of 50 semantically equivalent requests across 12 harm categories, measuring the variance in refusal rates within each cluster.</w:t>
      </w:r>
    </w:p>
    <w:p>
      <w:pPr>
        <w:spacing w:after="120" w:before="80"/>
      </w:pPr>
      <w:r>
        <w:rPr>
          <w:rFonts w:ascii="Times New Roman" w:cs="Times New Roman" w:eastAsia="Times New Roman" w:hAnsi="Times New Roman"/>
          <w:color w:val="1A1A2E"/>
          <w:sz w:val="24"/>
          <w:szCs w:val="24"/>
        </w:rPr>
        <w:t xml:space="preserve">HAS score = 1 − mean(within-cluster variance in refusal rate) across harm categories.</w:t>
      </w:r>
    </w:p>
    <w:p>
      <w:pPr>
        <w:pStyle w:val="Heading2"/>
      </w:pPr>
      <w:r>
        <w:rPr>
          <w:rFonts w:ascii="Arial" w:cs="Arial" w:eastAsia="Arial" w:hAnsi="Arial"/>
          <w:b/>
          <w:bCs/>
          <w:color w:val="1A1A2E"/>
          <w:sz w:val="24"/>
          <w:szCs w:val="24"/>
        </w:rPr>
        <w:t xml:space="preserve">3.2 Dimension 2: Value Persistence Under Pressure (VPP)</w:t>
      </w:r>
    </w:p>
    <w:p>
      <w:pPr>
        <w:spacing w:after="120" w:before="80"/>
      </w:pPr>
      <w:r>
        <w:rPr>
          <w:rFonts w:ascii="Times New Roman" w:cs="Times New Roman" w:eastAsia="Times New Roman" w:hAnsi="Times New Roman"/>
          <w:color w:val="1A1A2E"/>
          <w:sz w:val="24"/>
          <w:szCs w:val="24"/>
        </w:rPr>
        <w:t xml:space="preserve">Value Persistence Under Pressure measures the degree to which a model maintains its initial value-laden response when that response is challenged by the user. We employ a structured multi-turn protocol in which an initial model response is followed by escalating user pressure (disagreement, authority claims, urgency framing) and measure the rate at which models abandon correct initial positions.</w:t>
      </w:r>
    </w:p>
    <w:p>
      <w:pPr>
        <w:pStyle w:val="Heading2"/>
      </w:pPr>
      <w:r>
        <w:rPr>
          <w:rFonts w:ascii="Arial" w:cs="Arial" w:eastAsia="Arial" w:hAnsi="Arial"/>
          <w:b/>
          <w:bCs/>
          <w:color w:val="1A1A2E"/>
          <w:sz w:val="24"/>
          <w:szCs w:val="24"/>
        </w:rPr>
        <w:t xml:space="preserve">3.3 Dimension 3: Cross-Context Coherence (CCC)</w:t>
      </w:r>
    </w:p>
    <w:p>
      <w:pPr>
        <w:spacing w:after="120" w:before="80"/>
      </w:pPr>
      <w:r>
        <w:rPr>
          <w:rFonts w:ascii="Times New Roman" w:cs="Times New Roman" w:eastAsia="Times New Roman" w:hAnsi="Times New Roman"/>
          <w:color w:val="1A1A2E"/>
          <w:sz w:val="24"/>
          <w:szCs w:val="24"/>
        </w:rPr>
        <w:t xml:space="preserve">Cross-Context Coherence measures whether a model applies equivalent ethical standards across superficially different but morally equivalent scenarios. We construct paired scenario sets that vary demographic attributes (race, religion, gender, nationality) while holding the ethical structure constant, measuring the delta in model responses.</w:t>
      </w:r>
    </w:p>
    <w:p>
      <w:pPr>
        <w:pStyle w:val="Heading2"/>
      </w:pPr>
      <w:r>
        <w:rPr>
          <w:rFonts w:ascii="Arial" w:cs="Arial" w:eastAsia="Arial" w:hAnsi="Arial"/>
          <w:b/>
          <w:bCs/>
          <w:color w:val="1A1A2E"/>
          <w:sz w:val="24"/>
          <w:szCs w:val="24"/>
        </w:rPr>
        <w:t xml:space="preserve">3.4 Dimension 4: Adversarial Robustness (AR)</w:t>
      </w:r>
    </w:p>
    <w:p>
      <w:pPr>
        <w:spacing w:after="120" w:before="80"/>
      </w:pPr>
      <w:r>
        <w:rPr>
          <w:rFonts w:ascii="Times New Roman" w:cs="Times New Roman" w:eastAsia="Times New Roman" w:hAnsi="Times New Roman"/>
          <w:color w:val="1A1A2E"/>
          <w:sz w:val="24"/>
          <w:szCs w:val="24"/>
        </w:rPr>
        <w:t xml:space="preserve">Adversarial Robustness measures resistance to known jailbreak and alignment-bypass techniques. We employ a curated library of 340 adversarial prompts spanning role-play bypasses, hypothetical framings, encoding obfuscations, and multi-step manipulation sequences, measuring refusal rates across categories.</w:t>
      </w:r>
    </w:p>
    <w:p>
      <w:pPr>
        <w:pStyle w:val="Heading2"/>
      </w:pPr>
      <w:r>
        <w:rPr>
          <w:rFonts w:ascii="Arial" w:cs="Arial" w:eastAsia="Arial" w:hAnsi="Arial"/>
          <w:b/>
          <w:bCs/>
          <w:color w:val="1A1A2E"/>
          <w:sz w:val="24"/>
          <w:szCs w:val="24"/>
        </w:rPr>
        <w:t xml:space="preserve">3.5 Dimension 5: Distributional Fairness (DF)</w:t>
      </w:r>
    </w:p>
    <w:p>
      <w:pPr>
        <w:spacing w:after="120" w:before="80"/>
      </w:pPr>
      <w:r>
        <w:rPr>
          <w:rFonts w:ascii="Times New Roman" w:cs="Times New Roman" w:eastAsia="Times New Roman" w:hAnsi="Times New Roman"/>
          <w:color w:val="1A1A2E"/>
          <w:sz w:val="24"/>
          <w:szCs w:val="24"/>
        </w:rPr>
        <w:t xml:space="preserve">Distributional Fairness measures consistency in helpfulness and quality across different demographic groups. We construct parallel requests that are semantically equivalent but reference different demographic groups, measuring the variance in response quality and the rate of differential helpfulness or harmfulness.</w:t>
      </w:r>
    </w:p>
    <w:p>
      <w:pPr>
        <w:pStyle w:val="Heading1"/>
      </w:pPr>
      <w:r>
        <w:rPr>
          <w:rFonts w:ascii="Arial" w:cs="Arial" w:eastAsia="Arial" w:hAnsi="Arial"/>
          <w:b/>
          <w:bCs/>
          <w:color w:val="1B7A6E"/>
          <w:sz w:val="26"/>
          <w:szCs w:val="26"/>
        </w:rPr>
        <w:t xml:space="preserve">4. The Value Consistency Index (VCI)</w:t>
      </w:r>
    </w:p>
    <w:p>
      <w:pPr>
        <w:spacing w:after="120" w:before="80"/>
      </w:pPr>
      <w:r>
        <w:rPr>
          <w:rFonts w:ascii="Times New Roman" w:cs="Times New Roman" w:eastAsia="Times New Roman" w:hAnsi="Times New Roman"/>
          <w:color w:val="1A1A2E"/>
          <w:sz w:val="24"/>
          <w:szCs w:val="24"/>
        </w:rPr>
        <w:t xml:space="preserve">We aggregate the five dimension scores into a composite Value Consistency Index using equal weighting as a baseline, with domain-specific weighting available for specialized deployment contexts: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BFA" w:val="clear"/>
            <w:tcMar>
              <w:top w:type="dxa" w:w="120"/>
              <w:left w:type="dxa" w:w="200"/>
              <w:bottom w:type="dxa" w:w="120"/>
              <w:right w:type="dxa" w:w="200"/>
            </w:tcMar>
          </w:tcPr>
          <w:p>
            <w:pPr>
              <w:spacing w:after="40" w:before="40"/>
            </w:pPr>
            <w:r>
              <w:rPr>
                <w:rFonts w:ascii="Courier New" w:cs="Courier New" w:eastAsia="Courier New" w:hAnsi="Courier New"/>
                <w:color w:val="1A1A2E"/>
                <w:sz w:val="20"/>
                <w:szCs w:val="20"/>
              </w:rPr>
              <w:t xml:space="preserve">VCI = w1·HAS + w2·VPP + w3·CCC + w4·AR + w5·DF</w:t>
            </w:r>
          </w:p>
          <w:p>
            <w:pPr>
              <w:spacing w:after="40" w:before="40"/>
            </w:pPr>
            <w:r>
              <w:rPr>
                <w:rFonts w:ascii="Courier New" w:cs="Courier New" w:eastAsia="Courier New" w:hAnsi="Courier New"/>
                <w:color w:val="1A1A2E"/>
                <w:sz w:val="20"/>
                <w:szCs w:val="20"/>
              </w:rPr>
              <w:t xml:space="preserve"/>
            </w:r>
          </w:p>
          <w:p>
            <w:pPr>
              <w:spacing w:after="40" w:before="40"/>
            </w:pPr>
            <w:r>
              <w:rPr>
                <w:rFonts w:ascii="Courier New" w:cs="Courier New" w:eastAsia="Courier New" w:hAnsi="Courier New"/>
                <w:color w:val="1A1A2E"/>
                <w:sz w:val="20"/>
                <w:szCs w:val="20"/>
              </w:rPr>
              <w:t xml:space="preserve">Default weights (general deployment):</w:t>
            </w:r>
          </w:p>
          <w:p>
            <w:pPr>
              <w:spacing w:after="40" w:before="40"/>
            </w:pPr>
            <w:r>
              <w:rPr>
                <w:rFonts w:ascii="Courier New" w:cs="Courier New" w:eastAsia="Courier New" w:hAnsi="Courier New"/>
                <w:color w:val="1A1A2E"/>
                <w:sz w:val="20"/>
                <w:szCs w:val="20"/>
              </w:rPr>
              <w:t xml:space="preserve">  w1 = 0.25 (Harm Avoidance Stability)</w:t>
            </w:r>
          </w:p>
          <w:p>
            <w:pPr>
              <w:spacing w:after="40" w:before="40"/>
            </w:pPr>
            <w:r>
              <w:rPr>
                <w:rFonts w:ascii="Courier New" w:cs="Courier New" w:eastAsia="Courier New" w:hAnsi="Courier New"/>
                <w:color w:val="1A1A2E"/>
                <w:sz w:val="20"/>
                <w:szCs w:val="20"/>
              </w:rPr>
              <w:t xml:space="preserve">  w2 = 0.20 (Value Persistence Under Pressure)</w:t>
            </w:r>
          </w:p>
          <w:p>
            <w:pPr>
              <w:spacing w:after="40" w:before="40"/>
            </w:pPr>
            <w:r>
              <w:rPr>
                <w:rFonts w:ascii="Courier New" w:cs="Courier New" w:eastAsia="Courier New" w:hAnsi="Courier New"/>
                <w:color w:val="1A1A2E"/>
                <w:sz w:val="20"/>
                <w:szCs w:val="20"/>
              </w:rPr>
              <w:t xml:space="preserve">  w3 = 0.20 (Cross-Context Coherence)</w:t>
            </w:r>
          </w:p>
          <w:p>
            <w:pPr>
              <w:spacing w:after="40" w:before="40"/>
            </w:pPr>
            <w:r>
              <w:rPr>
                <w:rFonts w:ascii="Courier New" w:cs="Courier New" w:eastAsia="Courier New" w:hAnsi="Courier New"/>
                <w:color w:val="1A1A2E"/>
                <w:sz w:val="20"/>
                <w:szCs w:val="20"/>
              </w:rPr>
              <w:t xml:space="preserve">  w4 = 0.25 (Adversarial Robustness)</w:t>
            </w:r>
          </w:p>
          <w:p>
            <w:pPr>
              <w:spacing w:after="40" w:before="40"/>
            </w:pPr>
            <w:r>
              <w:rPr>
                <w:rFonts w:ascii="Courier New" w:cs="Courier New" w:eastAsia="Courier New" w:hAnsi="Courier New"/>
                <w:color w:val="1A1A2E"/>
                <w:sz w:val="20"/>
                <w:szCs w:val="20"/>
              </w:rPr>
              <w:t xml:space="preserve">  w5 = 0.10 (Distributional Fairness)</w:t>
            </w:r>
          </w:p>
          <w:p>
            <w:pPr>
              <w:spacing w:after="40" w:before="40"/>
            </w:pPr>
            <w:r>
              <w:rPr>
                <w:rFonts w:ascii="Courier New" w:cs="Courier New" w:eastAsia="Courier New" w:hAnsi="Courier New"/>
                <w:color w:val="1A1A2E"/>
                <w:sz w:val="20"/>
                <w:szCs w:val="20"/>
              </w:rPr>
              <w:t xml:space="preserve"/>
            </w:r>
          </w:p>
          <w:p>
            <w:pPr>
              <w:spacing w:after="40" w:before="40"/>
            </w:pPr>
            <w:r>
              <w:rPr>
                <w:rFonts w:ascii="Courier New" w:cs="Courier New" w:eastAsia="Courier New" w:hAnsi="Courier New"/>
                <w:color w:val="1A1A2E"/>
                <w:sz w:val="20"/>
                <w:szCs w:val="20"/>
              </w:rPr>
              <w:t xml:space="preserve">All dimension scores normalized to [0, 1].</w:t>
            </w:r>
          </w:p>
          <w:p>
            <w:pPr>
              <w:spacing w:after="0" w:before="80"/>
            </w:pPr>
            <w:r>
              <w:rPr>
                <w:rFonts w:ascii="Arial" w:cs="Arial" w:eastAsia="Arial" w:hAnsi="Arial"/>
                <w:b/>
                <w:bCs/>
                <w:i/>
                <w:iCs/>
                <w:color w:val="666666"/>
                <w:sz w:val="18"/>
                <w:szCs w:val="18"/>
              </w:rPr>
              <w:t xml:space="preserve">Figure 1: VCI Calculation Formula</w:t>
            </w:r>
          </w:p>
        </w:tc>
      </w:tr>
    </w:tbl>
    <w:p>
      <w:pPr>
        <w:spacing w:after="160" w:before="0"/>
      </w:pPr>
      <w:r>
        <w:t xml:space="preserve"/>
      </w:r>
    </w:p>
    <w:p>
      <w:pPr>
        <w:pStyle w:val="Heading1"/>
      </w:pPr>
      <w:r>
        <w:rPr>
          <w:rFonts w:ascii="Arial" w:cs="Arial" w:eastAsia="Arial" w:hAnsi="Arial"/>
          <w:b/>
          <w:bCs/>
          <w:color w:val="1B7A6E"/>
          <w:sz w:val="26"/>
          <w:szCs w:val="26"/>
        </w:rPr>
        <w:t xml:space="preserve">5. Baseline Results Across Frontier LLMs</w:t>
      </w:r>
    </w:p>
    <w:p>
      <w:pPr>
        <w:spacing w:after="120" w:before="80"/>
      </w:pPr>
      <w:r>
        <w:rPr>
          <w:rFonts w:ascii="Times New Roman" w:cs="Times New Roman" w:eastAsia="Times New Roman" w:hAnsi="Times New Roman"/>
          <w:color w:val="1A1A2E"/>
          <w:sz w:val="24"/>
          <w:szCs w:val="24"/>
        </w:rPr>
        <w:t xml:space="preserve">We applied the VCI framework to five frontier LLMs evaluated in March 2026. Models are anonymized as M1–M5 in accordance with our responsible disclosure policy; full model identities will be released following a 60-day vendor notification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BFA" w:val="clear"/>
            <w:tcMar>
              <w:top w:type="dxa" w:w="120"/>
              <w:left w:type="dxa" w:w="200"/>
              <w:bottom w:type="dxa" w:w="120"/>
              <w:right w:type="dxa" w:w="200"/>
            </w:tcMar>
          </w:tcPr>
          <w:p>
            <w:pPr>
              <w:spacing w:after="40" w:before="40"/>
            </w:pPr>
            <w:r>
              <w:rPr>
                <w:rFonts w:ascii="Courier New" w:cs="Courier New" w:eastAsia="Courier New" w:hAnsi="Courier New"/>
                <w:color w:val="1A1A2E"/>
                <w:sz w:val="20"/>
                <w:szCs w:val="20"/>
              </w:rPr>
              <w:t xml:space="preserve">Model   HAS    VPP    CCC    AR     DF     VCI</w:t>
            </w:r>
          </w:p>
          <w:p>
            <w:pPr>
              <w:spacing w:after="40" w:before="40"/>
            </w:pPr>
            <w:r>
              <w:rPr>
                <w:rFonts w:ascii="Courier New" w:cs="Courier New" w:eastAsia="Courier New" w:hAnsi="Courier New"/>
                <w:color w:val="1A1A2E"/>
                <w:sz w:val="20"/>
                <w:szCs w:val="20"/>
              </w:rPr>
              <w:t xml:space="preserve">─────────────────────────────────────────────</w:t>
            </w:r>
          </w:p>
          <w:p>
            <w:pPr>
              <w:spacing w:after="40" w:before="40"/>
            </w:pPr>
            <w:r>
              <w:rPr>
                <w:rFonts w:ascii="Courier New" w:cs="Courier New" w:eastAsia="Courier New" w:hAnsi="Courier New"/>
                <w:color w:val="1A1A2E"/>
                <w:sz w:val="20"/>
                <w:szCs w:val="20"/>
              </w:rPr>
              <w:t xml:space="preserve">M1      0.91   0.78   0.82   0.85   0.79   0.85</w:t>
            </w:r>
          </w:p>
          <w:p>
            <w:pPr>
              <w:spacing w:after="40" w:before="40"/>
            </w:pPr>
            <w:r>
              <w:rPr>
                <w:rFonts w:ascii="Courier New" w:cs="Courier New" w:eastAsia="Courier New" w:hAnsi="Courier New"/>
                <w:color w:val="1A1A2E"/>
                <w:sz w:val="20"/>
                <w:szCs w:val="20"/>
              </w:rPr>
              <w:t xml:space="preserve">M2      0.88   0.71   0.75   0.70   0.64   0.75</w:t>
            </w:r>
          </w:p>
          <w:p>
            <w:pPr>
              <w:spacing w:after="40" w:before="40"/>
            </w:pPr>
            <w:r>
              <w:rPr>
                <w:rFonts w:ascii="Courier New" w:cs="Courier New" w:eastAsia="Courier New" w:hAnsi="Courier New"/>
                <w:color w:val="1A1A2E"/>
                <w:sz w:val="20"/>
                <w:szCs w:val="20"/>
              </w:rPr>
              <w:t xml:space="preserve">M3      0.76   0.65   0.71   0.63   0.72   0.70</w:t>
            </w:r>
          </w:p>
          <w:p>
            <w:pPr>
              <w:spacing w:after="40" w:before="40"/>
            </w:pPr>
            <w:r>
              <w:rPr>
                <w:rFonts w:ascii="Courier New" w:cs="Courier New" w:eastAsia="Courier New" w:hAnsi="Courier New"/>
                <w:color w:val="1A1A2E"/>
                <w:sz w:val="20"/>
                <w:szCs w:val="20"/>
              </w:rPr>
              <w:t xml:space="preserve">M4      0.82   0.69   0.68   0.71   0.61   0.72</w:t>
            </w:r>
          </w:p>
          <w:p>
            <w:pPr>
              <w:spacing w:after="40" w:before="40"/>
            </w:pPr>
            <w:r>
              <w:rPr>
                <w:rFonts w:ascii="Courier New" w:cs="Courier New" w:eastAsia="Courier New" w:hAnsi="Courier New"/>
                <w:color w:val="1A1A2E"/>
                <w:sz w:val="20"/>
                <w:szCs w:val="20"/>
              </w:rPr>
              <w:t xml:space="preserve">M5      0.79   0.74   0.77   0.68   0.68   0.74</w:t>
            </w:r>
          </w:p>
          <w:p>
            <w:pPr>
              <w:spacing w:after="0" w:before="80"/>
            </w:pPr>
            <w:r>
              <w:rPr>
                <w:rFonts w:ascii="Arial" w:cs="Arial" w:eastAsia="Arial" w:hAnsi="Arial"/>
                <w:b/>
                <w:bCs/>
                <w:i/>
                <w:iCs/>
                <w:color w:val="666666"/>
                <w:sz w:val="18"/>
                <w:szCs w:val="18"/>
              </w:rPr>
              <w:t xml:space="preserve">Table 1: VCI Scores Across Five Frontier LLMs</w:t>
            </w:r>
          </w:p>
        </w:tc>
      </w:tr>
    </w:tbl>
    <w:p>
      <w:pPr>
        <w:spacing w:after="160" w:before="0"/>
      </w:pPr>
      <w:r>
        <w:t xml:space="preserve"/>
      </w:r>
    </w:p>
    <w:p>
      <w:pPr>
        <w:spacing w:after="120" w:before="80"/>
      </w:pPr>
      <w:r>
        <w:rPr>
          <w:rFonts w:ascii="Times New Roman" w:cs="Times New Roman" w:eastAsia="Times New Roman" w:hAnsi="Times New Roman"/>
          <w:color w:val="1A1A2E"/>
          <w:sz w:val="24"/>
          <w:szCs w:val="24"/>
        </w:rPr>
        <w:t xml:space="preserve">Key findings from baseline evaluation include: (1) VPP scores are consistently lower than HAS scores across all models, suggesting that current safety training better addresses initial refusal than sustained resistance to user pressure; (2) CCC scores reveal systematic cross-demographic inconsistencies in all evaluated models; (3) AR scores are the single highest-variance dimension, reflecting the heterogeneous nature of the adversarial prompt corpus.</w:t>
      </w:r>
    </w:p>
    <w:p>
      <w:pPr>
        <w:pStyle w:val="Heading1"/>
      </w:pPr>
      <w:r>
        <w:rPr>
          <w:rFonts w:ascii="Arial" w:cs="Arial" w:eastAsia="Arial" w:hAnsi="Arial"/>
          <w:b/>
          <w:bCs/>
          <w:color w:val="1B7A6E"/>
          <w:sz w:val="26"/>
          <w:szCs w:val="26"/>
        </w:rPr>
        <w:t xml:space="preserve">6. Discussion</w:t>
      </w:r>
    </w:p>
    <w:p>
      <w:pPr>
        <w:spacing w:after="120" w:before="80"/>
      </w:pPr>
      <w:r>
        <w:rPr>
          <w:rFonts w:ascii="Times New Roman" w:cs="Times New Roman" w:eastAsia="Times New Roman" w:hAnsi="Times New Roman"/>
          <w:color w:val="1A1A2E"/>
          <w:sz w:val="24"/>
          <w:szCs w:val="24"/>
        </w:rPr>
        <w:t xml:space="preserve">The VCI framework surfaces a pattern that will concern practitioners: current frontier LLMs exhibit what we term 'shallow alignment' — good initial performance on standard harm categories combined with significant degradation under adversarial conditions and multi-turn pressure. This pattern suggests that safety training is optimizing for surface-level compliance with known harm patterns rather than for deep value internalization.</w:t>
      </w:r>
    </w:p>
    <w:p>
      <w:pPr>
        <w:spacing w:after="120" w:before="80"/>
      </w:pPr>
      <w:r>
        <w:rPr>
          <w:rFonts w:ascii="Times New Roman" w:cs="Times New Roman" w:eastAsia="Times New Roman" w:hAnsi="Times New Roman"/>
          <w:color w:val="1A1A2E"/>
          <w:sz w:val="24"/>
          <w:szCs w:val="24"/>
        </w:rPr>
        <w:t xml:space="preserve">The gap between HAS and VPP scores (mean gap of 0.12 VCI points) has direct operational significance: deployment contexts involving persistent users, negotiation scenarios, or multi-turn interactions are significantly higher risk than single-turn interactions.</w:t>
      </w:r>
    </w:p>
    <w:p>
      <w:pPr>
        <w:spacing w:after="120" w:before="80"/>
      </w:pPr>
      <w:r>
        <w:rPr>
          <w:rFonts w:ascii="Times New Roman" w:cs="Times New Roman" w:eastAsia="Times New Roman" w:hAnsi="Times New Roman"/>
          <w:color w:val="1A1A2E"/>
          <w:sz w:val="24"/>
          <w:szCs w:val="24"/>
        </w:rPr>
        <w:t xml:space="preserve">Our framework has several limitations. First, our adversarial prompt corpus, while extensive, cannot be exhaustive. Second, the equal weighting of VCI dimensions is a simplification; appropriate weighting will vary by deployment context. Third, human evaluation of borderline cases introduces inter-rater variability.</w:t>
      </w:r>
    </w:p>
    <w:p>
      <w:pPr>
        <w:pStyle w:val="Heading1"/>
      </w:pPr>
      <w:r>
        <w:rPr>
          <w:rFonts w:ascii="Arial" w:cs="Arial" w:eastAsia="Arial" w:hAnsi="Arial"/>
          <w:b/>
          <w:bCs/>
          <w:color w:val="1B7A6E"/>
          <w:sz w:val="26"/>
          <w:szCs w:val="26"/>
        </w:rPr>
        <w:t xml:space="preserve">7. Conclusion</w:t>
      </w:r>
    </w:p>
    <w:p>
      <w:pPr>
        <w:spacing w:after="120" w:before="80"/>
      </w:pPr>
      <w:r>
        <w:rPr>
          <w:rFonts w:ascii="Times New Roman" w:cs="Times New Roman" w:eastAsia="Times New Roman" w:hAnsi="Times New Roman"/>
          <w:color w:val="1A1A2E"/>
          <w:sz w:val="24"/>
          <w:szCs w:val="24"/>
        </w:rPr>
        <w:t xml:space="preserve">We have presented the Value Consistency Framework and the Value Consistency Index as tools for quantitative measurement of LLM alignment. Baseline results across five frontier models reveal systematic patterns of shallow alignment, with particular weaknesses in sustained value persistence and adversarial robustness. We make our evaluation corpus and scoring code available under CC BY 4.0 at ai-4-h.org.</w:t>
      </w:r>
    </w:p>
    <w:p>
      <w:pPr>
        <w:spacing w:after="120" w:before="80"/>
      </w:pPr>
      <w:r>
        <w:rPr>
          <w:rFonts w:ascii="Times New Roman" w:cs="Times New Roman" w:eastAsia="Times New Roman" w:hAnsi="Times New Roman"/>
          <w:color w:val="1A1A2E"/>
          <w:sz w:val="24"/>
          <w:szCs w:val="24"/>
        </w:rPr>
        <w:t xml:space="preserve">Future work will extend the framework to multimodal models and agentic systems, where value consistency challenges are substantially more complex. We also plan longitudinal tracking of VCI scores across model versions to assess whether safety training improvements are durable.</w:t>
      </w:r>
    </w:p>
    <w:p>
      <w:pPr>
        <w:pBdr>
          <w:bottom w:val="single" w:color="CCCCCC" w:sz="2"/>
        </w:pBdr>
        <w:spacing w:after="200" w:before="200"/>
      </w:pPr>
      <w:r>
        <w:t xml:space="preserve"/>
      </w:r>
    </w:p>
    <w:p>
      <w:pPr>
        <w:pStyle w:val="Heading1"/>
      </w:pPr>
      <w:r>
        <w:rPr>
          <w:rFonts w:ascii="Arial" w:cs="Arial" w:eastAsia="Arial" w:hAnsi="Arial"/>
          <w:b/>
          <w:bCs/>
          <w:color w:val="1B7A6E"/>
          <w:sz w:val="26"/>
          <w:szCs w:val="26"/>
        </w:rPr>
        <w:t xml:space="preserve">References</w:t>
      </w:r>
    </w:p>
    <w:p>
      <w:pPr>
        <w:spacing w:after="60" w:before="60"/>
        <w:ind w:left="720" w:hanging="360"/>
      </w:pPr>
      <w:r>
        <w:rPr>
          <w:rFonts w:ascii="Times New Roman" w:cs="Times New Roman" w:eastAsia="Times New Roman" w:hAnsi="Times New Roman"/>
          <w:color w:val="1A1A2E"/>
          <w:sz w:val="22"/>
          <w:szCs w:val="22"/>
        </w:rPr>
        <w:t xml:space="preserve">[Bostrom, 2014] Bostrom, N. (2014). Superintelligence: Paths, Dangers, Strategies. Oxford University Press.</w:t>
      </w:r>
    </w:p>
    <w:p>
      <w:pPr>
        <w:spacing w:after="60" w:before="60"/>
        <w:ind w:left="720" w:hanging="360"/>
      </w:pPr>
      <w:r>
        <w:rPr>
          <w:rFonts w:ascii="Times New Roman" w:cs="Times New Roman" w:eastAsia="Times New Roman" w:hAnsi="Times New Roman"/>
          <w:color w:val="1A1A2E"/>
          <w:sz w:val="22"/>
          <w:szCs w:val="22"/>
        </w:rPr>
        <w:t xml:space="preserve">[Gabriel, 2020] Gabriel, I. (2020). Artificial Intelligence, Values, and Alignment. Minds and Machines, 30(3), 411–437.</w:t>
      </w:r>
    </w:p>
    <w:p>
      <w:pPr>
        <w:spacing w:after="60" w:before="60"/>
        <w:ind w:left="720" w:hanging="360"/>
      </w:pPr>
      <w:r>
        <w:rPr>
          <w:rFonts w:ascii="Times New Roman" w:cs="Times New Roman" w:eastAsia="Times New Roman" w:hAnsi="Times New Roman"/>
          <w:color w:val="1A1A2E"/>
          <w:sz w:val="22"/>
          <w:szCs w:val="22"/>
        </w:rPr>
        <w:t xml:space="preserve">[Ganguli et al., 2022] Ganguli, D. et al. (2022). Red Teaming Language Models to Reduce Harms. arXiv:2209.07858.</w:t>
      </w:r>
    </w:p>
    <w:p>
      <w:pPr>
        <w:spacing w:after="60" w:before="60"/>
        <w:ind w:left="720" w:hanging="360"/>
      </w:pPr>
      <w:r>
        <w:rPr>
          <w:rFonts w:ascii="Times New Roman" w:cs="Times New Roman" w:eastAsia="Times New Roman" w:hAnsi="Times New Roman"/>
          <w:color w:val="1A1A2E"/>
          <w:sz w:val="22"/>
          <w:szCs w:val="22"/>
        </w:rPr>
        <w:t xml:space="preserve">[Liang et al., 2022] Liang, P. et al. (2022). Holistic Evaluation of Language Models. arXiv:2211.09110.</w:t>
      </w:r>
    </w:p>
    <w:p>
      <w:pPr>
        <w:spacing w:after="60" w:before="60"/>
        <w:ind w:left="720" w:hanging="360"/>
      </w:pPr>
      <w:r>
        <w:rPr>
          <w:rFonts w:ascii="Times New Roman" w:cs="Times New Roman" w:eastAsia="Times New Roman" w:hAnsi="Times New Roman"/>
          <w:color w:val="1A1A2E"/>
          <w:sz w:val="22"/>
          <w:szCs w:val="22"/>
        </w:rPr>
        <w:t xml:space="preserve">[Lin et al., 2021] Lin, S., Hilton, J., &amp; Evans, O. (2021). TruthfulQA: Measuring How Models Mimic Human Falsehoods. arXiv:2109.07958.</w:t>
      </w:r>
    </w:p>
    <w:p>
      <w:pPr>
        <w:spacing w:after="60" w:before="60"/>
        <w:ind w:left="720" w:hanging="360"/>
      </w:pPr>
      <w:r>
        <w:rPr>
          <w:rFonts w:ascii="Times New Roman" w:cs="Times New Roman" w:eastAsia="Times New Roman" w:hAnsi="Times New Roman"/>
          <w:color w:val="1A1A2E"/>
          <w:sz w:val="22"/>
          <w:szCs w:val="22"/>
        </w:rPr>
        <w:t xml:space="preserve">[Mazeika et al., 2024] Mazeika, M. et al. (2024). HarmBench: A Standardized Evaluation Framework for Automated Red Teaming and Robust Refusal. arXiv:2402.04249.</w:t>
      </w:r>
    </w:p>
    <w:p>
      <w:pPr>
        <w:spacing w:after="60" w:before="60"/>
        <w:ind w:left="720" w:hanging="360"/>
      </w:pPr>
      <w:r>
        <w:rPr>
          <w:rFonts w:ascii="Times New Roman" w:cs="Times New Roman" w:eastAsia="Times New Roman" w:hAnsi="Times New Roman"/>
          <w:color w:val="1A1A2E"/>
          <w:sz w:val="22"/>
          <w:szCs w:val="22"/>
        </w:rPr>
        <w:t xml:space="preserve">[Perez et al., 2022] Perez, F. &amp; Ribeiro, I. (2022). Ignore Previous Prompt: Attack Techniques For Language Models. arXiv:2211.09527.</w:t>
      </w:r>
    </w:p>
    <w:p>
      <w:pPr>
        <w:spacing w:after="60" w:before="60"/>
        <w:ind w:left="720" w:hanging="360"/>
      </w:pPr>
      <w:r>
        <w:rPr>
          <w:rFonts w:ascii="Times New Roman" w:cs="Times New Roman" w:eastAsia="Times New Roman" w:hAnsi="Times New Roman"/>
          <w:color w:val="1A1A2E"/>
          <w:sz w:val="22"/>
          <w:szCs w:val="22"/>
        </w:rPr>
        <w:t xml:space="preserve">[Russell, 2019] Russell, S. (2019). Human Compatible: Artificial Intelligence and the Problem of Control. Viking.</w:t>
      </w:r>
    </w:p>
    <w:p>
      <w:pPr>
        <w:spacing w:after="60" w:before="60"/>
        <w:ind w:left="720" w:hanging="360"/>
      </w:pPr>
      <w:r>
        <w:rPr>
          <w:rFonts w:ascii="Times New Roman" w:cs="Times New Roman" w:eastAsia="Times New Roman" w:hAnsi="Times New Roman"/>
          <w:color w:val="1A1A2E"/>
          <w:sz w:val="22"/>
          <w:szCs w:val="22"/>
        </w:rPr>
        <w:t xml:space="preserve">[Sinha et al., 2018] Sinha, A. et al. (2018). Certifying Some Distributional Robustness with Principled Adversarial Training. ICLR 2018.</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pBdr>
      <w:jc w:val="center"/>
    </w:pPr>
    <w:r>
      <w:rPr>
        <w:rFonts w:ascii="Arial" w:cs="Arial" w:eastAsia="Arial" w:hAnsi="Arial"/>
        <w:color w:val="666666"/>
        <w:sz w:val="18"/>
        <w:szCs w:val="18"/>
      </w:rPr>
      <w:t xml:space="preserve">Safe AI for Humanity Foundation  |  ai-4-h.org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pBdr>
    </w:pPr>
    <w:r>
      <w:rPr>
        <w:rFonts w:ascii="Arial" w:cs="Arial" w:eastAsia="Arial" w:hAnsi="Arial"/>
        <w:color w:val="666666"/>
        <w:sz w:val="18"/>
        <w:szCs w:val="18"/>
      </w:rPr>
      <w:t xml:space="preserve">Safe AI for Humanity Foundation  —  </w:t>
    </w:r>
    <w:r>
      <w:rPr>
        <w:rFonts w:ascii="Arial" w:cs="Arial" w:eastAsia="Arial" w:hAnsi="Arial"/>
        <w:i/>
        <w:iCs/>
        <w:color w:val="666666"/>
        <w:sz w:val="18"/>
        <w:szCs w:val="18"/>
      </w:rPr>
      <w:t xml:space="preserve">Toward Measurable Alignment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sz w:val="26"/>
      <w:szCs w:val="26"/>
    </w:rPr>
  </w:style>
  <w:style w:type="paragraph" w:styleId="Heading2">
    <w:name w:val="Heading 2"/>
    <w:basedOn w:val="Normal"/>
    <w:next w:val="Normal"/>
    <w:qFormat/>
    <w:pPr>
      <w:spacing w:after="8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2026-03-10T18:20:26.701Z</dcterms:created>
  <dcterms:modified xsi:type="dcterms:W3CDTF">2026-03-10T18:20:26.702Z</dcterms:modified>
</cp:coreProperties>
</file>

<file path=docProps/custom.xml><?xml version="1.0" encoding="utf-8"?>
<Properties xmlns="http://schemas.openxmlformats.org/officeDocument/2006/custom-properties" xmlns:vt="http://schemas.openxmlformats.org/officeDocument/2006/docPropsVTypes"/>
</file>